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02EBE" w14:textId="77777777" w:rsidR="0086273E" w:rsidRDefault="0086273E" w:rsidP="0086273E">
      <w:r w:rsidRPr="000665CA">
        <w:rPr>
          <w:rFonts w:ascii="Gill Sans MT" w:eastAsia="Eras ITC" w:hAnsi="Gill Sans MT" w:cs="Eras ITC"/>
          <w:b/>
          <w:noProof/>
          <w:color w:val="333399"/>
          <w:sz w:val="28"/>
        </w:rPr>
        <w:drawing>
          <wp:anchor distT="0" distB="0" distL="114300" distR="114300" simplePos="0" relativeHeight="251659264" behindDoc="1" locked="0" layoutInCell="1" allowOverlap="1" wp14:anchorId="3C356514" wp14:editId="677378A5">
            <wp:simplePos x="0" y="0"/>
            <wp:positionH relativeFrom="margin">
              <wp:posOffset>1460346</wp:posOffset>
            </wp:positionH>
            <wp:positionV relativeFrom="paragraph">
              <wp:posOffset>613</wp:posOffset>
            </wp:positionV>
            <wp:extent cx="3840480" cy="1355188"/>
            <wp:effectExtent l="0" t="0" r="7620" b="0"/>
            <wp:wrapTight wrapText="bothSides">
              <wp:wrapPolygon edited="0">
                <wp:start x="0" y="0"/>
                <wp:lineTo x="0" y="21256"/>
                <wp:lineTo x="21536" y="21256"/>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ton All Saints logo 24_Blue R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40480" cy="1355188"/>
                    </a:xfrm>
                    <a:prstGeom prst="rect">
                      <a:avLst/>
                    </a:prstGeom>
                  </pic:spPr>
                </pic:pic>
              </a:graphicData>
            </a:graphic>
            <wp14:sizeRelH relativeFrom="margin">
              <wp14:pctWidth>0</wp14:pctWidth>
            </wp14:sizeRelH>
            <wp14:sizeRelV relativeFrom="margin">
              <wp14:pctHeight>0</wp14:pctHeight>
            </wp14:sizeRelV>
          </wp:anchor>
        </w:drawing>
      </w:r>
    </w:p>
    <w:p w14:paraId="1A4E105C" w14:textId="77777777" w:rsidR="0086273E" w:rsidRPr="00A01CA1" w:rsidRDefault="0086273E" w:rsidP="0086273E"/>
    <w:p w14:paraId="3FD64B06" w14:textId="77777777" w:rsidR="0086273E" w:rsidRPr="00A01CA1" w:rsidRDefault="0086273E" w:rsidP="0086273E"/>
    <w:p w14:paraId="1B090876" w14:textId="77777777" w:rsidR="0086273E" w:rsidRPr="00A01CA1" w:rsidRDefault="0086273E" w:rsidP="0086273E"/>
    <w:p w14:paraId="44966431" w14:textId="77777777" w:rsidR="0086273E" w:rsidRPr="00A01CA1" w:rsidRDefault="0086273E" w:rsidP="0086273E"/>
    <w:p w14:paraId="588E9706" w14:textId="77777777" w:rsidR="0086273E" w:rsidRDefault="0086273E" w:rsidP="0086273E">
      <w:pPr>
        <w:jc w:val="center"/>
        <w:rPr>
          <w:rFonts w:ascii="Gill Sans MT" w:hAnsi="Gill Sans MT"/>
          <w:b/>
          <w:bCs/>
          <w:sz w:val="36"/>
          <w:szCs w:val="36"/>
        </w:rPr>
      </w:pPr>
      <w:r w:rsidRPr="000665CA">
        <w:rPr>
          <w:rFonts w:ascii="Gill Sans MT" w:hAnsi="Gill Sans MT"/>
          <w:b/>
          <w:bCs/>
          <w:sz w:val="36"/>
          <w:szCs w:val="36"/>
        </w:rPr>
        <w:t>Compton All Saints Church of England Voluntary Aided Primary School</w:t>
      </w:r>
    </w:p>
    <w:p w14:paraId="7144983E" w14:textId="77777777" w:rsidR="0086273E" w:rsidRDefault="0086273E" w:rsidP="0086273E">
      <w:pPr>
        <w:jc w:val="center"/>
        <w:rPr>
          <w:rFonts w:ascii="Gill Sans MT" w:hAnsi="Gill Sans MT"/>
          <w:b/>
          <w:bCs/>
          <w:sz w:val="36"/>
          <w:szCs w:val="36"/>
        </w:rPr>
      </w:pPr>
    </w:p>
    <w:p w14:paraId="6F918545" w14:textId="77777777" w:rsidR="0086273E" w:rsidRPr="002B3AD4" w:rsidRDefault="0086273E" w:rsidP="0086273E">
      <w:pPr>
        <w:jc w:val="center"/>
        <w:rPr>
          <w:color w:val="4472C4" w:themeColor="accent1"/>
          <w:sz w:val="40"/>
          <w:szCs w:val="40"/>
        </w:rPr>
      </w:pPr>
      <w:r w:rsidRPr="002B3AD4">
        <w:rPr>
          <w:color w:val="4472C4" w:themeColor="accent1"/>
          <w:sz w:val="40"/>
          <w:szCs w:val="40"/>
        </w:rPr>
        <w:t xml:space="preserve">“Rooted in Christian values of </w:t>
      </w:r>
      <w:r w:rsidRPr="002B3AD4">
        <w:rPr>
          <w:b/>
          <w:bCs/>
          <w:i/>
          <w:iCs/>
          <w:color w:val="4472C4" w:themeColor="accent1"/>
          <w:sz w:val="40"/>
          <w:szCs w:val="40"/>
        </w:rPr>
        <w:t>truth, grace, and courage</w:t>
      </w:r>
      <w:r w:rsidRPr="002B3AD4">
        <w:rPr>
          <w:color w:val="4472C4" w:themeColor="accent1"/>
          <w:sz w:val="40"/>
          <w:szCs w:val="40"/>
        </w:rPr>
        <w:t>, we nurture</w:t>
      </w:r>
      <w:r w:rsidRPr="002B3AD4">
        <w:rPr>
          <w:b/>
          <w:bCs/>
          <w:i/>
          <w:iCs/>
          <w:color w:val="4472C4" w:themeColor="accent1"/>
          <w:sz w:val="40"/>
          <w:szCs w:val="40"/>
        </w:rPr>
        <w:t xml:space="preserve"> hope</w:t>
      </w:r>
      <w:r w:rsidRPr="002B3AD4">
        <w:rPr>
          <w:color w:val="4472C4" w:themeColor="accent1"/>
          <w:sz w:val="40"/>
          <w:szCs w:val="40"/>
        </w:rPr>
        <w:t xml:space="preserve"> through play, nature, and curiosity—empowering every child to communicate, collaborate and advocate for themselves and others. We </w:t>
      </w:r>
      <w:proofErr w:type="spellStart"/>
      <w:r w:rsidRPr="002B3AD4">
        <w:rPr>
          <w:color w:val="4472C4" w:themeColor="accent1"/>
          <w:sz w:val="40"/>
          <w:szCs w:val="40"/>
        </w:rPr>
        <w:t>instil</w:t>
      </w:r>
      <w:proofErr w:type="spellEnd"/>
      <w:r w:rsidRPr="002B3AD4">
        <w:rPr>
          <w:color w:val="4472C4" w:themeColor="accent1"/>
          <w:sz w:val="40"/>
          <w:szCs w:val="40"/>
        </w:rPr>
        <w:t xml:space="preserve"> a lifelong love of learning, inspiring children to think deeply, problem solve critically, act kindly, and become agents of change.”</w:t>
      </w:r>
    </w:p>
    <w:p w14:paraId="3CB2A6EC" w14:textId="77777777" w:rsidR="0086273E" w:rsidRPr="002B3AD4" w:rsidRDefault="0086273E" w:rsidP="0086273E">
      <w:pPr>
        <w:jc w:val="center"/>
        <w:rPr>
          <w:color w:val="4472C4" w:themeColor="accent1"/>
          <w:sz w:val="40"/>
          <w:szCs w:val="40"/>
        </w:rPr>
      </w:pPr>
    </w:p>
    <w:p w14:paraId="2CBA7324" w14:textId="77777777" w:rsidR="0086273E" w:rsidRPr="002B3AD4" w:rsidRDefault="0086273E" w:rsidP="0086273E">
      <w:pPr>
        <w:jc w:val="center"/>
        <w:rPr>
          <w:b/>
          <w:bCs/>
          <w:color w:val="4472C4" w:themeColor="accent1"/>
          <w:sz w:val="40"/>
          <w:szCs w:val="40"/>
        </w:rPr>
      </w:pPr>
      <w:r w:rsidRPr="002B3AD4">
        <w:rPr>
          <w:b/>
          <w:bCs/>
          <w:color w:val="4472C4" w:themeColor="accent1"/>
          <w:sz w:val="40"/>
          <w:szCs w:val="40"/>
        </w:rPr>
        <w:t>“Small School, Big Hearts, Endless Hope.”</w:t>
      </w:r>
    </w:p>
    <w:p w14:paraId="07E009E4" w14:textId="77777777" w:rsidR="0086273E" w:rsidRDefault="0086273E" w:rsidP="0086273E">
      <w:pPr>
        <w:jc w:val="center"/>
        <w:rPr>
          <w:rFonts w:ascii="Calibri" w:hAnsi="Calibri" w:cs="Calibri"/>
          <w:b/>
          <w:i/>
          <w:color w:val="5B9BD5"/>
        </w:rPr>
      </w:pPr>
    </w:p>
    <w:p w14:paraId="38E83330" w14:textId="77777777" w:rsidR="0086273E" w:rsidRPr="000665CA" w:rsidRDefault="0086273E" w:rsidP="0086273E">
      <w:pPr>
        <w:jc w:val="center"/>
        <w:rPr>
          <w:rFonts w:ascii="Gill Sans MT" w:hAnsi="Gill Sans MT"/>
          <w:b/>
          <w:bCs/>
          <w:sz w:val="36"/>
          <w:szCs w:val="36"/>
        </w:rPr>
      </w:pPr>
    </w:p>
    <w:p w14:paraId="3F009D97" w14:textId="77777777" w:rsidR="0086273E" w:rsidRPr="000665CA" w:rsidRDefault="0086273E" w:rsidP="0086273E">
      <w:pPr>
        <w:rPr>
          <w:rFonts w:ascii="Gill Sans MT" w:hAnsi="Gill Sans MT" w:cstheme="minorHAnsi"/>
          <w:b/>
          <w:sz w:val="36"/>
          <w:szCs w:val="36"/>
        </w:rPr>
      </w:pPr>
    </w:p>
    <w:p w14:paraId="15AA8BF1" w14:textId="45A0EE7F" w:rsidR="0086273E" w:rsidRPr="00A5169F" w:rsidRDefault="0086273E" w:rsidP="0086273E">
      <w:pPr>
        <w:jc w:val="center"/>
        <w:rPr>
          <w:rFonts w:ascii="Gill Sans MT" w:hAnsi="Gill Sans MT"/>
          <w:b/>
          <w:bCs/>
          <w:sz w:val="48"/>
          <w:szCs w:val="48"/>
        </w:rPr>
      </w:pPr>
      <w:r>
        <w:rPr>
          <w:rFonts w:ascii="Gill Sans MT" w:hAnsi="Gill Sans MT"/>
          <w:b/>
          <w:bCs/>
          <w:sz w:val="48"/>
          <w:szCs w:val="48"/>
        </w:rPr>
        <w:t>SEND</w:t>
      </w:r>
      <w:r w:rsidRPr="00A5169F">
        <w:rPr>
          <w:rFonts w:ascii="Gill Sans MT" w:hAnsi="Gill Sans MT"/>
          <w:b/>
          <w:bCs/>
          <w:sz w:val="48"/>
          <w:szCs w:val="48"/>
        </w:rPr>
        <w:t xml:space="preserve"> Policy </w:t>
      </w:r>
      <w:r>
        <w:rPr>
          <w:rFonts w:ascii="Gill Sans MT" w:hAnsi="Gill Sans MT"/>
          <w:b/>
          <w:bCs/>
          <w:sz w:val="48"/>
          <w:szCs w:val="48"/>
        </w:rPr>
        <w:t>M</w:t>
      </w:r>
      <w:r>
        <w:rPr>
          <w:rFonts w:ascii="Gill Sans MT" w:hAnsi="Gill Sans MT"/>
          <w:b/>
          <w:bCs/>
          <w:sz w:val="48"/>
          <w:szCs w:val="48"/>
        </w:rPr>
        <w:t>arch</w:t>
      </w:r>
      <w:r>
        <w:rPr>
          <w:rFonts w:ascii="Gill Sans MT" w:hAnsi="Gill Sans MT"/>
          <w:b/>
          <w:bCs/>
          <w:sz w:val="48"/>
          <w:szCs w:val="48"/>
        </w:rPr>
        <w:t xml:space="preserve"> </w:t>
      </w:r>
      <w:r>
        <w:rPr>
          <w:rFonts w:ascii="Gill Sans MT" w:hAnsi="Gill Sans MT"/>
          <w:b/>
          <w:bCs/>
          <w:sz w:val="48"/>
          <w:szCs w:val="48"/>
        </w:rPr>
        <w:t>2026</w:t>
      </w:r>
    </w:p>
    <w:p w14:paraId="59FFDD9A" w14:textId="77777777" w:rsidR="0086273E" w:rsidRDefault="0086273E" w:rsidP="0086273E">
      <w:pPr>
        <w:tabs>
          <w:tab w:val="left" w:pos="1043"/>
        </w:tabs>
      </w:pPr>
    </w:p>
    <w:p w14:paraId="43E2FB9C" w14:textId="77777777" w:rsidR="0086273E" w:rsidRPr="000665CA" w:rsidRDefault="0086273E" w:rsidP="0086273E">
      <w:pPr>
        <w:jc w:val="both"/>
        <w:rPr>
          <w:rFonts w:ascii="Gill Sans MT" w:hAnsi="Gill Sans MT" w:cstheme="minorHAnsi"/>
          <w:b/>
          <w:sz w:val="36"/>
          <w:szCs w:val="36"/>
        </w:rPr>
      </w:pPr>
    </w:p>
    <w:p w14:paraId="75DB5880" w14:textId="55F33682" w:rsidR="0086273E" w:rsidRPr="00A5169F" w:rsidRDefault="0086273E" w:rsidP="0086273E">
      <w:pPr>
        <w:jc w:val="both"/>
        <w:rPr>
          <w:rFonts w:ascii="Gill Sans MT" w:hAnsi="Gill Sans MT" w:cstheme="minorHAnsi"/>
          <w:b/>
        </w:rPr>
      </w:pPr>
      <w:r w:rsidRPr="00A5169F">
        <w:rPr>
          <w:rFonts w:ascii="Gill Sans MT" w:hAnsi="Gill Sans MT" w:cstheme="minorHAnsi"/>
          <w:b/>
        </w:rPr>
        <w:t xml:space="preserve">Policy written- </w:t>
      </w:r>
      <w:r>
        <w:rPr>
          <w:rFonts w:ascii="Gill Sans MT" w:hAnsi="Gill Sans MT" w:cstheme="minorHAnsi"/>
          <w:b/>
        </w:rPr>
        <w:t>March</w:t>
      </w:r>
      <w:r w:rsidRPr="00A5169F">
        <w:rPr>
          <w:rFonts w:ascii="Gill Sans MT" w:hAnsi="Gill Sans MT" w:cstheme="minorHAnsi"/>
          <w:b/>
        </w:rPr>
        <w:t xml:space="preserve"> 2026 by Headteacher</w:t>
      </w:r>
    </w:p>
    <w:p w14:paraId="7ADF159E" w14:textId="75F909EF" w:rsidR="0086273E" w:rsidRDefault="0086273E" w:rsidP="0086273E">
      <w:pPr>
        <w:jc w:val="both"/>
        <w:rPr>
          <w:rFonts w:ascii="Gill Sans MT" w:hAnsi="Gill Sans MT" w:cstheme="minorHAnsi"/>
          <w:b/>
          <w:color w:val="FF0000"/>
        </w:rPr>
      </w:pPr>
      <w:r w:rsidRPr="000665CA">
        <w:rPr>
          <w:rFonts w:ascii="Gill Sans MT" w:hAnsi="Gill Sans MT" w:cstheme="minorHAnsi"/>
          <w:b/>
        </w:rPr>
        <w:t xml:space="preserve">Policy Determined by the Governing Board – </w:t>
      </w:r>
      <w:r>
        <w:rPr>
          <w:rFonts w:ascii="Gill Sans MT" w:hAnsi="Gill Sans MT" w:cstheme="minorHAnsi"/>
          <w:b/>
          <w:color w:val="FF0000"/>
        </w:rPr>
        <w:t>05.03.</w:t>
      </w:r>
      <w:r>
        <w:rPr>
          <w:rFonts w:ascii="Gill Sans MT" w:hAnsi="Gill Sans MT" w:cstheme="minorHAnsi"/>
          <w:b/>
          <w:color w:val="FF0000"/>
        </w:rPr>
        <w:t>26</w:t>
      </w:r>
    </w:p>
    <w:p w14:paraId="5B4D369F" w14:textId="7BBF99B5" w:rsidR="0086273E" w:rsidRPr="000665CA" w:rsidRDefault="0086273E" w:rsidP="0086273E">
      <w:pPr>
        <w:jc w:val="both"/>
        <w:rPr>
          <w:rFonts w:ascii="Gill Sans MT" w:hAnsi="Gill Sans MT" w:cstheme="minorHAnsi"/>
          <w:b/>
        </w:rPr>
      </w:pPr>
      <w:r>
        <w:rPr>
          <w:rFonts w:ascii="Gill Sans MT" w:hAnsi="Gill Sans MT" w:cstheme="minorHAnsi"/>
          <w:b/>
        </w:rPr>
        <w:t xml:space="preserve">Policy to be reviewed- </w:t>
      </w:r>
      <w:r>
        <w:rPr>
          <w:rFonts w:ascii="Gill Sans MT" w:hAnsi="Gill Sans MT" w:cstheme="minorHAnsi"/>
          <w:b/>
        </w:rPr>
        <w:t>March</w:t>
      </w:r>
      <w:r>
        <w:rPr>
          <w:rFonts w:ascii="Gill Sans MT" w:hAnsi="Gill Sans MT" w:cstheme="minorHAnsi"/>
          <w:b/>
        </w:rPr>
        <w:t xml:space="preserve"> 2027</w:t>
      </w:r>
    </w:p>
    <w:p w14:paraId="453B2A52" w14:textId="77777777" w:rsidR="00B36C6D" w:rsidRDefault="00C94C11">
      <w:pPr>
        <w:pStyle w:val="Heading3"/>
      </w:pPr>
      <w:r>
        <w:lastRenderedPageBreak/>
        <w:t>1. Related policies and documents</w:t>
      </w:r>
    </w:p>
    <w:p w14:paraId="09D36AE0" w14:textId="77777777" w:rsidR="00B36C6D" w:rsidRDefault="00C94C11">
      <w:r>
        <w:t>This po</w:t>
      </w:r>
      <w:r>
        <w:t xml:space="preserve">licy should be read alongside: </w:t>
      </w:r>
      <w:r w:rsidRPr="00A02E67">
        <w:rPr>
          <w:i/>
          <w:iCs/>
        </w:rPr>
        <w:t xml:space="preserve">Learning &amp; Teaching Policy; Equality Statement; Accessibility Plan; Supporting Pupils with Medical Conditions; Complaints Policy; Child Protection &amp; Safeguarding; SEN Information Report; </w:t>
      </w:r>
      <w:proofErr w:type="spellStart"/>
      <w:r w:rsidRPr="00A02E67">
        <w:rPr>
          <w:i/>
          <w:iCs/>
        </w:rPr>
        <w:t>Behaviour</w:t>
      </w:r>
      <w:proofErr w:type="spellEnd"/>
      <w:r w:rsidRPr="00A02E67">
        <w:rPr>
          <w:i/>
          <w:iCs/>
        </w:rPr>
        <w:t xml:space="preserve"> Policy; Confidentiality Poli</w:t>
      </w:r>
      <w:r w:rsidRPr="00A02E67">
        <w:rPr>
          <w:i/>
          <w:iCs/>
        </w:rPr>
        <w:t>cy; Attendance Policy; Admissions Policy; Data Protection Policy; Mental Health &amp; Wellbeing Policy</w:t>
      </w:r>
      <w:r>
        <w:t xml:space="preserve">. It also aligns with the </w:t>
      </w:r>
      <w:r>
        <w:rPr>
          <w:b/>
          <w:bCs/>
        </w:rPr>
        <w:t>Hampshire Local Offer</w:t>
      </w:r>
      <w:r>
        <w:t xml:space="preserve">, </w:t>
      </w:r>
      <w:r>
        <w:rPr>
          <w:b/>
          <w:bCs/>
        </w:rPr>
        <w:t>SEND Code of Practice (0–25)</w:t>
      </w:r>
      <w:r>
        <w:t xml:space="preserve">, </w:t>
      </w:r>
      <w:r>
        <w:rPr>
          <w:b/>
          <w:bCs/>
        </w:rPr>
        <w:t>Teachers’ Standards</w:t>
      </w:r>
      <w:r>
        <w:t xml:space="preserve">, and the school’s </w:t>
      </w:r>
      <w:r>
        <w:rPr>
          <w:b/>
          <w:bCs/>
        </w:rPr>
        <w:t>Ordinarily Available Provision (OAP) fram</w:t>
      </w:r>
      <w:r>
        <w:rPr>
          <w:b/>
          <w:bCs/>
        </w:rPr>
        <w:t>ework</w:t>
      </w:r>
      <w:r>
        <w:t>.</w:t>
      </w:r>
    </w:p>
    <w:p w14:paraId="0EB7DA1C" w14:textId="77777777" w:rsidR="00B36C6D" w:rsidRDefault="00C94C11">
      <w:r>
        <w:rPr>
          <w:b/>
          <w:bCs/>
        </w:rPr>
        <w:t>External statutory and guidance references</w:t>
      </w:r>
    </w:p>
    <w:p w14:paraId="3E3729A1" w14:textId="77777777" w:rsidR="00B36C6D" w:rsidRDefault="00C94C11">
      <w:pPr>
        <w:pStyle w:val="ListParagraph"/>
        <w:numPr>
          <w:ilvl w:val="0"/>
          <w:numId w:val="2"/>
        </w:numPr>
      </w:pPr>
      <w:r>
        <w:t>SEND Code of Practice (DfE, 2015)</w:t>
      </w:r>
    </w:p>
    <w:p w14:paraId="6544EDF0" w14:textId="77777777" w:rsidR="00B36C6D" w:rsidRDefault="00C94C11">
      <w:pPr>
        <w:pStyle w:val="ListParagraph"/>
        <w:numPr>
          <w:ilvl w:val="0"/>
          <w:numId w:val="2"/>
        </w:numPr>
      </w:pPr>
      <w:r>
        <w:t>Equality Act 2010 (and Public Sector Equality Duty)</w:t>
      </w:r>
    </w:p>
    <w:p w14:paraId="2068F1F9" w14:textId="42950B13" w:rsidR="00B36C6D" w:rsidRDefault="00C94C11">
      <w:pPr>
        <w:pStyle w:val="ListParagraph"/>
        <w:numPr>
          <w:ilvl w:val="0"/>
          <w:numId w:val="2"/>
        </w:numPr>
      </w:pPr>
      <w:r>
        <w:t>Teachers’ Standards (DfE)</w:t>
      </w:r>
    </w:p>
    <w:p w14:paraId="6AD6AAD8" w14:textId="5C426506" w:rsidR="0086273E" w:rsidRDefault="0086273E">
      <w:pPr>
        <w:pStyle w:val="ListParagraph"/>
        <w:numPr>
          <w:ilvl w:val="0"/>
          <w:numId w:val="2"/>
        </w:numPr>
      </w:pPr>
      <w:r>
        <w:t xml:space="preserve">DfE </w:t>
      </w:r>
      <w:proofErr w:type="spellStart"/>
      <w:r>
        <w:t>Behaviour</w:t>
      </w:r>
      <w:proofErr w:type="spellEnd"/>
      <w:r>
        <w:t xml:space="preserve"> </w:t>
      </w:r>
      <w:r w:rsidR="00A02E67">
        <w:t>in</w:t>
      </w:r>
      <w:r>
        <w:t xml:space="preserve"> Schools (DFE 2022)</w:t>
      </w:r>
    </w:p>
    <w:p w14:paraId="4434334C" w14:textId="55D8194D" w:rsidR="0086273E" w:rsidRDefault="0086273E">
      <w:pPr>
        <w:pStyle w:val="ListParagraph"/>
        <w:numPr>
          <w:ilvl w:val="0"/>
          <w:numId w:val="2"/>
        </w:numPr>
      </w:pPr>
      <w:r>
        <w:t>KCSIE 2025</w:t>
      </w:r>
    </w:p>
    <w:p w14:paraId="75179281" w14:textId="77777777" w:rsidR="00B36C6D" w:rsidRDefault="00C94C11">
      <w:pPr>
        <w:pStyle w:val="ListParagraph"/>
        <w:numPr>
          <w:ilvl w:val="0"/>
          <w:numId w:val="2"/>
        </w:numPr>
      </w:pPr>
      <w:r>
        <w:t xml:space="preserve">Hampshire County Council </w:t>
      </w:r>
      <w:r>
        <w:rPr>
          <w:b/>
          <w:bCs/>
        </w:rPr>
        <w:t>OAP and SEND Support</w:t>
      </w:r>
      <w:r>
        <w:t xml:space="preserve"> guidance (March 2025)</w:t>
      </w:r>
    </w:p>
    <w:p w14:paraId="245C4FC8" w14:textId="77777777" w:rsidR="00B36C6D" w:rsidRDefault="00C94C11">
      <w:pPr>
        <w:pStyle w:val="ListParagraph"/>
        <w:numPr>
          <w:ilvl w:val="0"/>
          <w:numId w:val="2"/>
        </w:numPr>
      </w:pPr>
      <w:r>
        <w:t>(Supporting resources) Por</w:t>
      </w:r>
      <w:r>
        <w:t xml:space="preserve">tsmouth </w:t>
      </w:r>
      <w:r>
        <w:rPr>
          <w:b/>
          <w:bCs/>
        </w:rPr>
        <w:t>Ordinarily Available Provision</w:t>
      </w:r>
      <w:r>
        <w:t xml:space="preserve"> (2022)</w:t>
      </w:r>
    </w:p>
    <w:p w14:paraId="77203C65" w14:textId="4A4C445F" w:rsidR="00B36C6D" w:rsidRDefault="00C94C11" w:rsidP="0086273E">
      <w:r>
        <w:t>These provide the statutory context and practical exemplification for the approaches set out below.</w:t>
      </w:r>
    </w:p>
    <w:p w14:paraId="2AB9DF76" w14:textId="77777777" w:rsidR="00B36C6D" w:rsidRDefault="00C94C11">
      <w:pPr>
        <w:pStyle w:val="Heading3"/>
      </w:pPr>
      <w:r>
        <w:t>2. Principles of inclusion</w:t>
      </w:r>
    </w:p>
    <w:p w14:paraId="2064DA12" w14:textId="6AE7E061" w:rsidR="00B36C6D" w:rsidRDefault="00C94C11" w:rsidP="0086273E">
      <w:r>
        <w:t>Compton All Saints’ is a caring, inclusive school that raises expectations and asp</w:t>
      </w:r>
      <w:r>
        <w:t xml:space="preserve">irations for all pupils. High-quality inclusive teaching (HQIT) that is </w:t>
      </w:r>
      <w:r w:rsidR="0086273E">
        <w:t xml:space="preserve">adapted </w:t>
      </w:r>
      <w:r>
        <w:t xml:space="preserve">and </w:t>
      </w:r>
      <w:proofErr w:type="spellStart"/>
      <w:r>
        <w:t>personalised</w:t>
      </w:r>
      <w:proofErr w:type="spellEnd"/>
      <w:r>
        <w:t xml:space="preserve"> is </w:t>
      </w:r>
      <w:proofErr w:type="spellStart"/>
      <w:r>
        <w:t>recognised</w:t>
      </w:r>
      <w:proofErr w:type="spellEnd"/>
      <w:r>
        <w:t xml:space="preserve"> as the most effective way to secure outcomes for the majority of pupils; our </w:t>
      </w:r>
      <w:r>
        <w:rPr>
          <w:b/>
          <w:bCs/>
        </w:rPr>
        <w:t>Ordinarily Available Provision (OAP)</w:t>
      </w:r>
      <w:r>
        <w:t xml:space="preserve"> sets out what every chil</w:t>
      </w:r>
      <w:r>
        <w:t>d can expect in every classroom, every day.</w:t>
      </w:r>
    </w:p>
    <w:p w14:paraId="580EAE31" w14:textId="77777777" w:rsidR="00B36C6D" w:rsidRDefault="00C94C11">
      <w:pPr>
        <w:pStyle w:val="Heading3"/>
      </w:pPr>
      <w:r>
        <w:t>3. Definition of SEND</w:t>
      </w:r>
    </w:p>
    <w:p w14:paraId="3FEB4BA7" w14:textId="5C97CA58" w:rsidR="00B36C6D" w:rsidRDefault="00C94C11" w:rsidP="0086273E">
      <w:r>
        <w:t>A pupil has SEND if they have a significantly greater difficulty in learning than the majority of others of the same age, or a disability which prevents or hinders them from making use of f</w:t>
      </w:r>
      <w:r>
        <w:t xml:space="preserve">acilities generally provided for others of the same age in mainstream schools. Special educational provision is that which is </w:t>
      </w:r>
      <w:r>
        <w:rPr>
          <w:b/>
          <w:bCs/>
        </w:rPr>
        <w:t>additional to or different from</w:t>
      </w:r>
      <w:r>
        <w:t xml:space="preserve"> that made generally for others of the same age.</w:t>
      </w:r>
    </w:p>
    <w:p w14:paraId="40C20FB3" w14:textId="77777777" w:rsidR="00B36C6D" w:rsidRDefault="00C94C11">
      <w:pPr>
        <w:pStyle w:val="Heading3"/>
      </w:pPr>
      <w:r>
        <w:t>4. Ordinarily Available Provision (OAP) at Compto</w:t>
      </w:r>
      <w:r>
        <w:t>n</w:t>
      </w:r>
    </w:p>
    <w:p w14:paraId="6FE10B2F" w14:textId="77777777" w:rsidR="00B36C6D" w:rsidRDefault="00C94C11">
      <w:r>
        <w:t xml:space="preserve">OAP is the culture and practice that </w:t>
      </w:r>
      <w:r>
        <w:rPr>
          <w:b/>
          <w:bCs/>
        </w:rPr>
        <w:t>everyone</w:t>
      </w:r>
      <w:r>
        <w:t xml:space="preserve"> experiences at Compton. It is implemented through three strands and sits at the universal and targeted levels of our graduated approach:</w:t>
      </w:r>
    </w:p>
    <w:p w14:paraId="2776FD04" w14:textId="77777777" w:rsidR="00B36C6D" w:rsidRDefault="00C94C11">
      <w:pPr>
        <w:pStyle w:val="Heading4"/>
      </w:pPr>
      <w:r>
        <w:t>4.1 Learning space conditions (universal)</w:t>
      </w:r>
    </w:p>
    <w:p w14:paraId="1AD54E82" w14:textId="77777777" w:rsidR="00B36C6D" w:rsidRDefault="00C94C11">
      <w:pPr>
        <w:pStyle w:val="ListParagraph"/>
        <w:numPr>
          <w:ilvl w:val="0"/>
          <w:numId w:val="3"/>
        </w:numPr>
      </w:pPr>
      <w:r>
        <w:t>Calm, purposeful climate; explicit routines and boundaries.</w:t>
      </w:r>
    </w:p>
    <w:p w14:paraId="043192B8" w14:textId="77777777" w:rsidR="00B36C6D" w:rsidRDefault="00C94C11">
      <w:pPr>
        <w:pStyle w:val="ListParagraph"/>
        <w:numPr>
          <w:ilvl w:val="0"/>
          <w:numId w:val="3"/>
        </w:numPr>
      </w:pPr>
      <w:r>
        <w:t>Low-sensory, communication‑friendly environments (considering display, lighting, seating).</w:t>
      </w:r>
    </w:p>
    <w:p w14:paraId="7CD646E0" w14:textId="77777777" w:rsidR="00B36C6D" w:rsidRDefault="00C94C11">
      <w:pPr>
        <w:pStyle w:val="ListParagraph"/>
        <w:numPr>
          <w:ilvl w:val="0"/>
          <w:numId w:val="3"/>
        </w:numPr>
      </w:pPr>
      <w:r>
        <w:t>Regulation resources available (e.g., fidget tools, wobble cush</w:t>
      </w:r>
      <w:r>
        <w:t>ions, chair bands) and accessible classroom resources to promote independence.</w:t>
      </w:r>
    </w:p>
    <w:p w14:paraId="4369FBC2" w14:textId="77777777" w:rsidR="00B36C6D" w:rsidRDefault="00C94C11">
      <w:pPr>
        <w:pStyle w:val="ListParagraph"/>
        <w:numPr>
          <w:ilvl w:val="0"/>
          <w:numId w:val="3"/>
        </w:numPr>
      </w:pPr>
      <w:r>
        <w:t>Preparation for change (visual timers, pre-warnings) and seating planned with pupil voice.</w:t>
      </w:r>
    </w:p>
    <w:p w14:paraId="53EC0908" w14:textId="17C98786" w:rsidR="00B36C6D" w:rsidRDefault="00C94C11">
      <w:pPr>
        <w:pStyle w:val="ListParagraph"/>
        <w:numPr>
          <w:ilvl w:val="0"/>
          <w:numId w:val="3"/>
        </w:numPr>
      </w:pPr>
      <w:r>
        <w:t xml:space="preserve">Clear, uncluttered materials (appropriate font/print size; </w:t>
      </w:r>
      <w:proofErr w:type="spellStart"/>
      <w:r>
        <w:t>coloured</w:t>
      </w:r>
      <w:proofErr w:type="spellEnd"/>
      <w:r>
        <w:t xml:space="preserve"> </w:t>
      </w:r>
      <w:r w:rsidR="00B55870">
        <w:t>paper</w:t>
      </w:r>
      <w:r>
        <w:t xml:space="preserve"> where </w:t>
      </w:r>
      <w:r>
        <w:t>needed; captions for videos).</w:t>
      </w:r>
    </w:p>
    <w:p w14:paraId="212363A8" w14:textId="77777777" w:rsidR="00B36C6D" w:rsidRDefault="00C94C11">
      <w:r>
        <w:lastRenderedPageBreak/>
        <w:t>These universal conditions reduce barriers for all and are part of everyday teaching.</w:t>
      </w:r>
    </w:p>
    <w:p w14:paraId="65B2DF26" w14:textId="77777777" w:rsidR="00B36C6D" w:rsidRDefault="00C94C11">
      <w:r>
        <w:rPr>
          <w:b/>
          <w:bCs/>
        </w:rPr>
        <w:t>Targeted examples (as needed):</w:t>
      </w:r>
      <w:r>
        <w:t xml:space="preserve"> copies of board work/presentations; now-and-next/first‑then boards; additional adult prompting during transit</w:t>
      </w:r>
      <w:r>
        <w:t>ions.</w:t>
      </w:r>
    </w:p>
    <w:p w14:paraId="1A279AB6" w14:textId="77777777" w:rsidR="00B36C6D" w:rsidRDefault="00C94C11">
      <w:pPr>
        <w:pStyle w:val="Heading4"/>
      </w:pPr>
      <w:r>
        <w:t>4.2 Pedagogical principles (universal)</w:t>
      </w:r>
    </w:p>
    <w:p w14:paraId="7C66ECCA" w14:textId="77777777" w:rsidR="00B36C6D" w:rsidRDefault="00C94C11">
      <w:pPr>
        <w:pStyle w:val="ListParagraph"/>
        <w:numPr>
          <w:ilvl w:val="0"/>
          <w:numId w:val="4"/>
        </w:numPr>
      </w:pPr>
      <w:r>
        <w:t xml:space="preserve">Adaptive delivery and </w:t>
      </w:r>
      <w:r>
        <w:rPr>
          <w:b/>
          <w:bCs/>
        </w:rPr>
        <w:t>chunking</w:t>
      </w:r>
      <w:r>
        <w:t xml:space="preserve"> of information; explicit success criteria and clear end‑points.</w:t>
      </w:r>
    </w:p>
    <w:p w14:paraId="1396F5D3" w14:textId="77777777" w:rsidR="00B36C6D" w:rsidRDefault="00C94C11">
      <w:pPr>
        <w:pStyle w:val="ListParagraph"/>
        <w:numPr>
          <w:ilvl w:val="0"/>
          <w:numId w:val="4"/>
        </w:numPr>
      </w:pPr>
      <w:r>
        <w:t>Multisensory approaches and use of concrete resources for abstract concepts.</w:t>
      </w:r>
    </w:p>
    <w:p w14:paraId="21615D9F" w14:textId="77777777" w:rsidR="00B36C6D" w:rsidRDefault="00C94C11">
      <w:pPr>
        <w:pStyle w:val="ListParagraph"/>
        <w:numPr>
          <w:ilvl w:val="0"/>
          <w:numId w:val="4"/>
        </w:numPr>
      </w:pPr>
      <w:r>
        <w:t>Modelling (including live/blank‑canvas)</w:t>
      </w:r>
      <w:r>
        <w:t>, crafted questioning, ongoing responsive assessment and feedback.</w:t>
      </w:r>
    </w:p>
    <w:p w14:paraId="2F51588E" w14:textId="77777777" w:rsidR="00B36C6D" w:rsidRDefault="00C94C11">
      <w:pPr>
        <w:pStyle w:val="ListParagraph"/>
        <w:numPr>
          <w:ilvl w:val="0"/>
          <w:numId w:val="4"/>
        </w:numPr>
      </w:pPr>
      <w:r>
        <w:t>Deliberate practice with opportunities for repetition/overlearning; scaffolding calibrated to promote independence.</w:t>
      </w:r>
    </w:p>
    <w:p w14:paraId="5EBF177A" w14:textId="77777777" w:rsidR="00B36C6D" w:rsidRDefault="00C94C11">
      <w:pPr>
        <w:pStyle w:val="ListParagraph"/>
        <w:numPr>
          <w:ilvl w:val="0"/>
          <w:numId w:val="4"/>
        </w:numPr>
      </w:pPr>
      <w:r>
        <w:t>Pre‑teaching of vocabulary; sentence starters/stems; structures to suppor</w:t>
      </w:r>
      <w:r>
        <w:t>t talk (e.g., think‑pair‑share).</w:t>
      </w:r>
    </w:p>
    <w:p w14:paraId="63F47FA1" w14:textId="77777777" w:rsidR="00B36C6D" w:rsidRDefault="00C94C11">
      <w:pPr>
        <w:pStyle w:val="ListParagraph"/>
        <w:numPr>
          <w:ilvl w:val="0"/>
          <w:numId w:val="4"/>
        </w:numPr>
      </w:pPr>
      <w:r>
        <w:t>Consistent, unambiguous instructional language with processing time; “show‑and‑tell‑me” assessments to evidence learning in different modes.</w:t>
      </w:r>
    </w:p>
    <w:p w14:paraId="35D13B4D" w14:textId="77777777" w:rsidR="00B36C6D" w:rsidRDefault="00C94C11">
      <w:r>
        <w:rPr>
          <w:b/>
          <w:bCs/>
        </w:rPr>
        <w:t>Targeted examples (as needed):</w:t>
      </w:r>
      <w:r>
        <w:t xml:space="preserve"> alternative/augmentative communication (AAC) suppor</w:t>
      </w:r>
      <w:r>
        <w:t xml:space="preserve">ts; </w:t>
      </w:r>
      <w:proofErr w:type="spellStart"/>
      <w:r>
        <w:t>personalised</w:t>
      </w:r>
      <w:proofErr w:type="spellEnd"/>
      <w:r>
        <w:t xml:space="preserve"> overlearning and consolidation; </w:t>
      </w:r>
      <w:proofErr w:type="spellStart"/>
      <w:r>
        <w:t>personalised</w:t>
      </w:r>
      <w:proofErr w:type="spellEnd"/>
      <w:r>
        <w:t xml:space="preserve"> curriculum contexts linked to interests.</w:t>
      </w:r>
    </w:p>
    <w:p w14:paraId="36DCBD75" w14:textId="77777777" w:rsidR="00B36C6D" w:rsidRDefault="00C94C11">
      <w:pPr>
        <w:pStyle w:val="Heading4"/>
      </w:pPr>
      <w:r>
        <w:t>4.3 Visual approaches (universal)</w:t>
      </w:r>
    </w:p>
    <w:p w14:paraId="4D5D0C17" w14:textId="77777777" w:rsidR="00B36C6D" w:rsidRDefault="00C94C11">
      <w:pPr>
        <w:pStyle w:val="ListParagraph"/>
        <w:numPr>
          <w:ilvl w:val="0"/>
          <w:numId w:val="5"/>
        </w:numPr>
      </w:pPr>
      <w:proofErr w:type="spellStart"/>
      <w:r>
        <w:t>Colour</w:t>
      </w:r>
      <w:proofErr w:type="spellEnd"/>
      <w:r>
        <w:t xml:space="preserve"> coding; dual coding (text + visuals); lesson/task maps; visual scaffolds (e.g., word webs); visual timetables.</w:t>
      </w:r>
    </w:p>
    <w:p w14:paraId="05A5BF5A" w14:textId="77777777" w:rsidR="00B36C6D" w:rsidRDefault="00C94C11">
      <w:r>
        <w:t xml:space="preserve">These approaches reduce cognitive load and improve comprehension for all learners. </w:t>
      </w:r>
      <w:r>
        <w:rPr>
          <w:b/>
          <w:bCs/>
        </w:rPr>
        <w:t>Targeted</w:t>
      </w:r>
      <w:r>
        <w:t>: use of signing where appropriate.</w:t>
      </w:r>
    </w:p>
    <w:p w14:paraId="245E5659" w14:textId="463A7B65" w:rsidR="00B36C6D" w:rsidRDefault="00C94C11" w:rsidP="0086273E">
      <w:pPr>
        <w:pBdr>
          <w:left w:val="single" w:sz="18" w:space="4" w:color="A6A6A6"/>
        </w:pBdr>
        <w:ind w:left="180"/>
      </w:pPr>
      <w:r>
        <w:t xml:space="preserve">Note: The Portsmouth OAP (2022) provides additional exemplification (e.g., transitions, sensory environments, collaboration with </w:t>
      </w:r>
      <w:r>
        <w:t>parents/</w:t>
      </w:r>
      <w:proofErr w:type="spellStart"/>
      <w:r>
        <w:t>carers</w:t>
      </w:r>
      <w:proofErr w:type="spellEnd"/>
      <w:r>
        <w:t>) that is consistent with our approach and can be referenced for staff CPD.</w:t>
      </w:r>
    </w:p>
    <w:p w14:paraId="5223633B" w14:textId="77777777" w:rsidR="00B36C6D" w:rsidRDefault="00C94C11">
      <w:pPr>
        <w:pStyle w:val="Heading3"/>
      </w:pPr>
      <w:r>
        <w:t>5. Identification and assessment</w:t>
      </w:r>
    </w:p>
    <w:p w14:paraId="26A82563" w14:textId="4C9C9AF9" w:rsidR="00B36C6D" w:rsidRDefault="00C94C11" w:rsidP="0086273E">
      <w:r>
        <w:t>We aim to identify barriers to learning at the earliest point through ongoing assessment, observation, and dialogue with parents/</w:t>
      </w:r>
      <w:proofErr w:type="spellStart"/>
      <w:r>
        <w:t>car</w:t>
      </w:r>
      <w:r>
        <w:t>ers</w:t>
      </w:r>
      <w:proofErr w:type="spellEnd"/>
      <w:r>
        <w:t xml:space="preserve">, pupils and relevant professionals. Not all additional support constitutes SEND. Where high‑quality inclusive teaching and OAP are in place and concerns persist, we move through our </w:t>
      </w:r>
      <w:r>
        <w:rPr>
          <w:b/>
          <w:bCs/>
        </w:rPr>
        <w:t>graduated approach</w:t>
      </w:r>
      <w:r>
        <w:t xml:space="preserve"> (Assess–Plan–Do–Review).</w:t>
      </w:r>
    </w:p>
    <w:p w14:paraId="1BAF04DC" w14:textId="77777777" w:rsidR="00B36C6D" w:rsidRDefault="00C94C11">
      <w:pPr>
        <w:pStyle w:val="Heading3"/>
      </w:pPr>
      <w:r>
        <w:t>6. Graduated approach</w:t>
      </w:r>
    </w:p>
    <w:p w14:paraId="245A20C0" w14:textId="77777777" w:rsidR="00B36C6D" w:rsidRDefault="00C94C11">
      <w:r>
        <w:rPr>
          <w:b/>
          <w:bCs/>
        </w:rPr>
        <w:t>Stage 1: Universal (HQIT + OAP)</w:t>
      </w:r>
      <w:r>
        <w:t xml:space="preserve"> – all pupils benefit from the practices described in Section 4.</w:t>
      </w:r>
    </w:p>
    <w:p w14:paraId="30A71B66" w14:textId="77777777" w:rsidR="00B36C6D" w:rsidRDefault="00C94C11">
      <w:r>
        <w:rPr>
          <w:b/>
          <w:bCs/>
        </w:rPr>
        <w:t>Stage 2: Targeted OAP</w:t>
      </w:r>
      <w:r>
        <w:t xml:space="preserve"> – time‑limited, evidence‑informed adaptations (e.g., precision teaching, additional visuals, structured breaks).</w:t>
      </w:r>
    </w:p>
    <w:p w14:paraId="15D2F3FF" w14:textId="77777777" w:rsidR="00B36C6D" w:rsidRDefault="00C94C11">
      <w:r>
        <w:rPr>
          <w:b/>
          <w:bCs/>
        </w:rPr>
        <w:t>Sta</w:t>
      </w:r>
      <w:r>
        <w:rPr>
          <w:b/>
          <w:bCs/>
        </w:rPr>
        <w:t>ge 3: SEND Support</w:t>
      </w:r>
      <w:r>
        <w:t xml:space="preserve"> – where a pupil needs provision </w:t>
      </w:r>
      <w:r>
        <w:rPr>
          <w:b/>
          <w:bCs/>
        </w:rPr>
        <w:t>additional to or different from</w:t>
      </w:r>
      <w:r>
        <w:t xml:space="preserve"> peers, the pupil is recorded at SEN Support, with an </w:t>
      </w:r>
      <w:r>
        <w:rPr>
          <w:b/>
          <w:bCs/>
        </w:rPr>
        <w:t>Individual Education Plan (IEP)</w:t>
      </w:r>
      <w:r>
        <w:t xml:space="preserve"> stating outcomes, provision and review schedule (usually termly).</w:t>
      </w:r>
    </w:p>
    <w:p w14:paraId="58E72C3E" w14:textId="77777777" w:rsidR="00B36C6D" w:rsidRDefault="00C94C11">
      <w:r>
        <w:rPr>
          <w:b/>
          <w:bCs/>
        </w:rPr>
        <w:lastRenderedPageBreak/>
        <w:t>Stage 4: EHC needs ass</w:t>
      </w:r>
      <w:r>
        <w:rPr>
          <w:b/>
          <w:bCs/>
        </w:rPr>
        <w:t>essment</w:t>
      </w:r>
      <w:r>
        <w:t xml:space="preserve"> – where, despite relevant and purposeful action over time, the pupil </w:t>
      </w:r>
      <w:r>
        <w:rPr>
          <w:b/>
          <w:bCs/>
        </w:rPr>
        <w:t>does not</w:t>
      </w:r>
      <w:r>
        <w:t xml:space="preserve"> make expected progress, we consider requesting an EHC needs assessment.</w:t>
      </w:r>
    </w:p>
    <w:p w14:paraId="085EA2C1" w14:textId="2EF20EA9" w:rsidR="00B36C6D" w:rsidRDefault="00C94C11" w:rsidP="0086273E">
      <w:r>
        <w:t>IEP cycles are co‑produced with parents/</w:t>
      </w:r>
      <w:proofErr w:type="spellStart"/>
      <w:r>
        <w:t>carers</w:t>
      </w:r>
      <w:proofErr w:type="spellEnd"/>
      <w:r>
        <w:t xml:space="preserve"> and pupils, with progress evidenced from multiple s</w:t>
      </w:r>
      <w:r>
        <w:t xml:space="preserve">ources (work scrutiny, </w:t>
      </w:r>
      <w:proofErr w:type="spellStart"/>
      <w:r>
        <w:t>standardised</w:t>
      </w:r>
      <w:proofErr w:type="spellEnd"/>
      <w:r>
        <w:t xml:space="preserve"> assessments, observation, independence indicators).</w:t>
      </w:r>
    </w:p>
    <w:p w14:paraId="31967BFD" w14:textId="77777777" w:rsidR="00B36C6D" w:rsidRDefault="00C94C11">
      <w:pPr>
        <w:pStyle w:val="Heading3"/>
      </w:pPr>
      <w:r>
        <w:t>7. SEND Support: area‑specific examples (classroom level)</w:t>
      </w:r>
    </w:p>
    <w:p w14:paraId="751F6363" w14:textId="77777777" w:rsidR="00B36C6D" w:rsidRDefault="00C94C11">
      <w:r>
        <w:t>The following illustrate how teachers deploy targeted strategies within everyday lessons (alongside universal</w:t>
      </w:r>
      <w:r>
        <w:t xml:space="preserve"> OAP):</w:t>
      </w:r>
    </w:p>
    <w:p w14:paraId="5034BBEF" w14:textId="77777777" w:rsidR="00B36C6D" w:rsidRDefault="00C94C11">
      <w:pPr>
        <w:pStyle w:val="ListParagraph"/>
        <w:numPr>
          <w:ilvl w:val="0"/>
          <w:numId w:val="6"/>
        </w:numPr>
      </w:pPr>
      <w:r>
        <w:rPr>
          <w:b/>
          <w:bCs/>
        </w:rPr>
        <w:t>Communication &amp; interaction:</w:t>
      </w:r>
      <w:r>
        <w:t xml:space="preserve"> get attention before speaking; reduce ambiguity; limit instruction length to the pupil’s processing capacity; consistent visuals for key vocabulary; designated workspace; structured opportunities to learn group‑work skil</w:t>
      </w:r>
      <w:r>
        <w:t>ls; visual timers; emotion coaching.</w:t>
      </w:r>
    </w:p>
    <w:p w14:paraId="121A9A1E" w14:textId="77777777" w:rsidR="00B36C6D" w:rsidRDefault="00C94C11">
      <w:pPr>
        <w:pStyle w:val="ListParagraph"/>
        <w:numPr>
          <w:ilvl w:val="0"/>
          <w:numId w:val="6"/>
        </w:numPr>
      </w:pPr>
      <w:r>
        <w:rPr>
          <w:b/>
          <w:bCs/>
        </w:rPr>
        <w:t>Cognition &amp; learning:</w:t>
      </w:r>
      <w:r>
        <w:t xml:space="preserve"> concise, sequential instructions; alternative recording; pre‑teaching; “backward chaining” of multi‑step tasks; guided reading; text navigation/glossaries; specialist assistive technology where app</w:t>
      </w:r>
      <w:r>
        <w:t>ropriate.</w:t>
      </w:r>
    </w:p>
    <w:p w14:paraId="21971FA8" w14:textId="77777777" w:rsidR="00B36C6D" w:rsidRDefault="00C94C11">
      <w:pPr>
        <w:pStyle w:val="ListParagraph"/>
        <w:numPr>
          <w:ilvl w:val="0"/>
          <w:numId w:val="6"/>
        </w:numPr>
      </w:pPr>
      <w:r>
        <w:rPr>
          <w:b/>
          <w:bCs/>
        </w:rPr>
        <w:t>Social, emotional &amp; mental health (SEMH):</w:t>
      </w:r>
      <w:r>
        <w:t xml:space="preserve"> predictable routines; strengths‑based language; conscious body language and tone; planned success; proportionate choices; regulation space and planned rest breaks; scaling systems; structured support at u</w:t>
      </w:r>
      <w:r>
        <w:t>nstructured times.</w:t>
      </w:r>
    </w:p>
    <w:p w14:paraId="3DA630B2" w14:textId="77777777" w:rsidR="00B36C6D" w:rsidRDefault="00C94C11">
      <w:pPr>
        <w:pStyle w:val="ListParagraph"/>
        <w:numPr>
          <w:ilvl w:val="0"/>
          <w:numId w:val="6"/>
        </w:numPr>
      </w:pPr>
      <w:r>
        <w:rPr>
          <w:b/>
          <w:bCs/>
        </w:rPr>
        <w:t>Sensory and/or physical:</w:t>
      </w:r>
      <w:r>
        <w:t xml:space="preserve"> multisensory teaching; purposeful seating/positioning; adjusted recording demands; uniform adjustments where needed; personal care plans and safe access to equipment; planned breaks; resources that limit fine‑mot</w:t>
      </w:r>
      <w:r>
        <w:t>or manipulation.</w:t>
      </w:r>
    </w:p>
    <w:p w14:paraId="3DE434B4" w14:textId="6C9000C0" w:rsidR="00B36C6D" w:rsidRDefault="00C94C11" w:rsidP="0086273E">
      <w:r>
        <w:t>(For further exemplification—including hearing/vision friendly environments and sensory diet planning—staff may refer to the Portsmouth OAP 2022 resource and Deaf Friendly Teaching resource from The National Deaf Children’s Society</w:t>
      </w:r>
      <w:r>
        <w:t>.)</w:t>
      </w:r>
    </w:p>
    <w:p w14:paraId="76C6A0D3" w14:textId="77777777" w:rsidR="00B36C6D" w:rsidRDefault="00C94C11">
      <w:pPr>
        <w:pStyle w:val="Heading3"/>
      </w:pPr>
      <w:r>
        <w:t>8. Education, Health and Care (EHC) plans</w:t>
      </w:r>
    </w:p>
    <w:p w14:paraId="5CE84BF7" w14:textId="23759872" w:rsidR="00B36C6D" w:rsidRDefault="00C94C11" w:rsidP="0086273E">
      <w:r>
        <w:t>Where needed, we request EHC needs asses</w:t>
      </w:r>
      <w:r>
        <w:t>sment in partnership with parents/</w:t>
      </w:r>
      <w:proofErr w:type="spellStart"/>
      <w:r>
        <w:t>carers</w:t>
      </w:r>
      <w:proofErr w:type="spellEnd"/>
      <w:r>
        <w:t xml:space="preserve"> and the Local Authority. If issued, plans are reviewed at least annually.</w:t>
      </w:r>
    </w:p>
    <w:p w14:paraId="56B71AFF" w14:textId="77777777" w:rsidR="00B36C6D" w:rsidRDefault="00C94C11">
      <w:pPr>
        <w:pStyle w:val="Heading3"/>
      </w:pPr>
      <w:r>
        <w:t>9. Transition</w:t>
      </w:r>
    </w:p>
    <w:p w14:paraId="3AD915CE" w14:textId="7166242E" w:rsidR="00B36C6D" w:rsidRPr="0086273E" w:rsidRDefault="0086273E" w:rsidP="0086273E">
      <w:pPr>
        <w:spacing w:after="0" w:line="300" w:lineRule="atLeast"/>
        <w:rPr>
          <w:rFonts w:ascii="Segoe UI" w:eastAsia="Times New Roman" w:hAnsi="Segoe UI" w:cs="Segoe UI"/>
          <w:sz w:val="21"/>
          <w:szCs w:val="21"/>
          <w:lang w:val="en-GB" w:eastAsia="en-GB"/>
        </w:rPr>
      </w:pPr>
      <w:r w:rsidRPr="0086273E">
        <w:rPr>
          <w:rFonts w:ascii="Segoe UI" w:eastAsia="Times New Roman" w:hAnsi="Segoe UI" w:cs="Segoe UI"/>
          <w:sz w:val="21"/>
          <w:szCs w:val="21"/>
          <w:lang w:val="en-GB" w:eastAsia="en-GB"/>
        </w:rPr>
        <w:t>Enhanced transition is planned for pupils with additional needs: additional visits, social stories, information</w:t>
      </w:r>
      <w:r w:rsidRPr="0086273E">
        <w:rPr>
          <w:rFonts w:ascii="Segoe UI" w:eastAsia="Times New Roman" w:hAnsi="Segoe UI" w:cs="Segoe UI"/>
          <w:sz w:val="21"/>
          <w:szCs w:val="21"/>
          <w:lang w:val="en-GB" w:eastAsia="en-GB"/>
        </w:rPr>
        <w:noBreakHyphen/>
        <w:t>sharing with feeder/receiving schools, and identification of pupil</w:t>
      </w:r>
      <w:r w:rsidRPr="0086273E">
        <w:rPr>
          <w:rFonts w:ascii="Segoe UI" w:eastAsia="Times New Roman" w:hAnsi="Segoe UI" w:cs="Segoe UI"/>
          <w:sz w:val="21"/>
          <w:szCs w:val="21"/>
          <w:lang w:val="en-GB" w:eastAsia="en-GB"/>
        </w:rPr>
        <w:noBreakHyphen/>
        <w:t>preferred safe spaces. EYFS intake processes emphasise early liaison with pre</w:t>
      </w:r>
      <w:r w:rsidRPr="0086273E">
        <w:rPr>
          <w:rFonts w:ascii="Segoe UI" w:eastAsia="Times New Roman" w:hAnsi="Segoe UI" w:cs="Segoe UI"/>
          <w:sz w:val="21"/>
          <w:szCs w:val="21"/>
          <w:lang w:val="en-GB" w:eastAsia="en-GB"/>
        </w:rPr>
        <w:noBreakHyphen/>
        <w:t>schools; Y6–Y7 transition includes timely information exchange and support planning</w:t>
      </w:r>
    </w:p>
    <w:p w14:paraId="35264632" w14:textId="77777777" w:rsidR="00B36C6D" w:rsidRDefault="00C94C11">
      <w:pPr>
        <w:pStyle w:val="Heading3"/>
      </w:pPr>
      <w:r>
        <w:t>10. Mental health and wellbeing</w:t>
      </w:r>
    </w:p>
    <w:p w14:paraId="2AB52323" w14:textId="42A66FAF" w:rsidR="00B36C6D" w:rsidRPr="0086273E" w:rsidRDefault="0086273E" w:rsidP="0086273E">
      <w:pPr>
        <w:spacing w:after="0" w:line="300" w:lineRule="atLeast"/>
        <w:rPr>
          <w:rFonts w:ascii="Segoe UI" w:eastAsia="Times New Roman" w:hAnsi="Segoe UI" w:cs="Segoe UI"/>
          <w:sz w:val="21"/>
          <w:szCs w:val="21"/>
          <w:lang w:val="en-GB" w:eastAsia="en-GB"/>
        </w:rPr>
      </w:pPr>
      <w:r w:rsidRPr="0086273E">
        <w:rPr>
          <w:rFonts w:ascii="Segoe UI" w:eastAsia="Times New Roman" w:hAnsi="Segoe UI" w:cs="Segoe UI"/>
          <w:sz w:val="21"/>
          <w:szCs w:val="21"/>
          <w:lang w:val="en-GB" w:eastAsia="en-GB"/>
        </w:rPr>
        <w:t>Mental health is promoted through our PSHE curriculum and pastoral offer. Compton uses trauma</w:t>
      </w:r>
      <w:r w:rsidRPr="0086273E">
        <w:rPr>
          <w:rFonts w:ascii="Segoe UI" w:eastAsia="Times New Roman" w:hAnsi="Segoe UI" w:cs="Segoe UI"/>
          <w:sz w:val="21"/>
          <w:szCs w:val="21"/>
          <w:lang w:val="en-GB" w:eastAsia="en-GB"/>
        </w:rPr>
        <w:noBreakHyphen/>
        <w:t>informed and attachment</w:t>
      </w:r>
      <w:r w:rsidRPr="0086273E">
        <w:rPr>
          <w:rFonts w:ascii="Segoe UI" w:eastAsia="Times New Roman" w:hAnsi="Segoe UI" w:cs="Segoe UI"/>
          <w:sz w:val="21"/>
          <w:szCs w:val="21"/>
          <w:lang w:val="en-GB" w:eastAsia="en-GB"/>
        </w:rPr>
        <w:noBreakHyphen/>
        <w:t>aware approaches where appropriate; our ELSA delivers time</w:t>
      </w:r>
      <w:r w:rsidRPr="0086273E">
        <w:rPr>
          <w:rFonts w:ascii="Segoe UI" w:eastAsia="Times New Roman" w:hAnsi="Segoe UI" w:cs="Segoe UI"/>
          <w:sz w:val="21"/>
          <w:szCs w:val="21"/>
          <w:lang w:val="en-GB" w:eastAsia="en-GB"/>
        </w:rPr>
        <w:noBreakHyphen/>
        <w:t>limited interventions</w:t>
      </w:r>
      <w:r w:rsidR="00C94C11">
        <w:rPr>
          <w:rFonts w:ascii="Segoe UI" w:eastAsia="Times New Roman" w:hAnsi="Segoe UI" w:cs="Segoe UI"/>
          <w:sz w:val="21"/>
          <w:szCs w:val="21"/>
          <w:lang w:val="en-GB" w:eastAsia="en-GB"/>
        </w:rPr>
        <w:t xml:space="preserve"> including ELSA, Lego Therapy, Therapeutic Story Writing</w:t>
      </w:r>
      <w:r w:rsidRPr="0086273E">
        <w:rPr>
          <w:rFonts w:ascii="Segoe UI" w:eastAsia="Times New Roman" w:hAnsi="Segoe UI" w:cs="Segoe UI"/>
          <w:sz w:val="21"/>
          <w:szCs w:val="21"/>
          <w:lang w:val="en-GB" w:eastAsia="en-GB"/>
        </w:rPr>
        <w:t xml:space="preserve">. Referrals to </w:t>
      </w:r>
      <w:r w:rsidRPr="0086273E">
        <w:rPr>
          <w:rFonts w:ascii="Segoe UI" w:eastAsia="Times New Roman" w:hAnsi="Segoe UI" w:cs="Segoe UI"/>
          <w:b/>
          <w:bCs/>
          <w:sz w:val="21"/>
          <w:szCs w:val="21"/>
          <w:lang w:val="en-GB" w:eastAsia="en-GB"/>
        </w:rPr>
        <w:t>MHST</w:t>
      </w:r>
      <w:r w:rsidRPr="0086273E">
        <w:rPr>
          <w:rFonts w:ascii="Segoe UI" w:eastAsia="Times New Roman" w:hAnsi="Segoe UI" w:cs="Segoe UI"/>
          <w:sz w:val="21"/>
          <w:szCs w:val="21"/>
          <w:lang w:val="en-GB" w:eastAsia="en-GB"/>
        </w:rPr>
        <w:t>/CAMHS are made (with parental consent) in line with local thresholds; where suitable, MHST may work through parent</w:t>
      </w:r>
      <w:r w:rsidRPr="0086273E">
        <w:rPr>
          <w:rFonts w:ascii="Segoe UI" w:eastAsia="Times New Roman" w:hAnsi="Segoe UI" w:cs="Segoe UI"/>
          <w:sz w:val="21"/>
          <w:szCs w:val="21"/>
          <w:lang w:val="en-GB" w:eastAsia="en-GB"/>
        </w:rPr>
        <w:noBreakHyphen/>
        <w:t>led programmes</w:t>
      </w:r>
      <w:r w:rsidR="00C94C11">
        <w:rPr>
          <w:rFonts w:ascii="Segoe UI" w:eastAsia="Times New Roman" w:hAnsi="Segoe UI" w:cs="Segoe UI"/>
          <w:sz w:val="21"/>
          <w:szCs w:val="21"/>
          <w:lang w:val="en-GB" w:eastAsia="en-GB"/>
        </w:rPr>
        <w:t>. We have a Wellbeing pupil leadership team that actively promote wellbeing ideas and strategies for all.</w:t>
      </w:r>
    </w:p>
    <w:p w14:paraId="0211AF44" w14:textId="77777777" w:rsidR="00B36C6D" w:rsidRDefault="00C94C11">
      <w:pPr>
        <w:pStyle w:val="Heading3"/>
      </w:pPr>
      <w:r>
        <w:lastRenderedPageBreak/>
        <w:t>11. Working with parents/</w:t>
      </w:r>
      <w:proofErr w:type="spellStart"/>
      <w:r>
        <w:t>carers</w:t>
      </w:r>
      <w:proofErr w:type="spellEnd"/>
      <w:r>
        <w:t xml:space="preserve"> and pupils</w:t>
      </w:r>
    </w:p>
    <w:p w14:paraId="1472127F" w14:textId="2F3C6678" w:rsidR="00B36C6D" w:rsidRDefault="00C94C11" w:rsidP="0086273E">
      <w:r>
        <w:t>We value parents/</w:t>
      </w:r>
      <w:proofErr w:type="spellStart"/>
      <w:r>
        <w:t>carers</w:t>
      </w:r>
      <w:proofErr w:type="spellEnd"/>
      <w:r>
        <w:t xml:space="preserve"> as partners and actively seek pupil views; our SEN Information Report and Local Offer signposting explain provision and pa</w:t>
      </w:r>
      <w:r>
        <w:t>thways. Co‑production is central to our graduated approach and to IEP reviews.</w:t>
      </w:r>
    </w:p>
    <w:p w14:paraId="773C490E" w14:textId="77777777" w:rsidR="00B36C6D" w:rsidRDefault="00C94C11">
      <w:pPr>
        <w:pStyle w:val="Heading3"/>
      </w:pPr>
      <w:r>
        <w:t>12. Access arrangements and examinations</w:t>
      </w:r>
    </w:p>
    <w:p w14:paraId="4556251D" w14:textId="3B33CF81" w:rsidR="00B36C6D" w:rsidRDefault="00C94C11" w:rsidP="0086273E">
      <w:r>
        <w:t xml:space="preserve">Access arrangements for statutory assessments follow national guidance and are based on a pupil’s </w:t>
      </w:r>
      <w:r>
        <w:rPr>
          <w:b/>
          <w:bCs/>
        </w:rPr>
        <w:t>normal way of working</w:t>
      </w:r>
      <w:r>
        <w:t xml:space="preserve"> (e.g., rest breaks, reader/scribe, extra time, use of a laptop).</w:t>
      </w:r>
    </w:p>
    <w:p w14:paraId="14DAA8FF" w14:textId="67AE8EEF" w:rsidR="00B36C6D" w:rsidRDefault="00C94C11">
      <w:pPr>
        <w:pStyle w:val="Heading3"/>
      </w:pPr>
      <w:r>
        <w:t>13. Funding</w:t>
      </w:r>
      <w:r w:rsidR="0086273E">
        <w:t>, accessibility</w:t>
      </w:r>
      <w:r>
        <w:t xml:space="preserve"> and resources</w:t>
      </w:r>
    </w:p>
    <w:p w14:paraId="335DB90D" w14:textId="4DAC4D65" w:rsidR="00B36C6D" w:rsidRPr="0086273E" w:rsidRDefault="0086273E" w:rsidP="0086273E">
      <w:pPr>
        <w:spacing w:after="0" w:line="300" w:lineRule="atLeast"/>
        <w:rPr>
          <w:rFonts w:ascii="Segoe UI" w:eastAsia="Times New Roman" w:hAnsi="Segoe UI" w:cs="Segoe UI"/>
          <w:sz w:val="21"/>
          <w:szCs w:val="21"/>
          <w:lang w:val="en-GB" w:eastAsia="en-GB"/>
        </w:rPr>
      </w:pPr>
      <w:r w:rsidRPr="0086273E">
        <w:rPr>
          <w:rFonts w:ascii="Segoe UI" w:eastAsia="Times New Roman" w:hAnsi="Segoe UI" w:cs="Segoe UI"/>
          <w:sz w:val="21"/>
          <w:szCs w:val="21"/>
          <w:lang w:val="en-GB" w:eastAsia="en-GB"/>
        </w:rPr>
        <w:t>The school receives an SEN notional budget within its delegated funding. The LA provides top</w:t>
      </w:r>
      <w:r w:rsidRPr="0086273E">
        <w:rPr>
          <w:rFonts w:ascii="Segoe UI" w:eastAsia="Times New Roman" w:hAnsi="Segoe UI" w:cs="Segoe UI"/>
          <w:sz w:val="21"/>
          <w:szCs w:val="21"/>
          <w:lang w:val="en-GB" w:eastAsia="en-GB"/>
        </w:rPr>
        <w:noBreakHyphen/>
        <w:t xml:space="preserve">up for pupils with EHC plans according to published banding; staff CPD and resources are planned against need and school improvement priorities. </w:t>
      </w:r>
      <w:r w:rsidRPr="0086273E">
        <w:rPr>
          <w:rFonts w:ascii="Segoe UI" w:eastAsia="Times New Roman" w:hAnsi="Segoe UI" w:cs="Segoe UI"/>
          <w:b/>
          <w:bCs/>
          <w:sz w:val="21"/>
          <w:szCs w:val="21"/>
          <w:lang w:val="en-GB" w:eastAsia="en-GB"/>
        </w:rPr>
        <w:t>Accessibility:</w:t>
      </w:r>
      <w:r w:rsidRPr="0086273E">
        <w:rPr>
          <w:rFonts w:ascii="Segoe UI" w:eastAsia="Times New Roman" w:hAnsi="Segoe UI" w:cs="Segoe UI"/>
          <w:sz w:val="21"/>
          <w:szCs w:val="21"/>
          <w:lang w:val="en-GB" w:eastAsia="en-GB"/>
        </w:rPr>
        <w:t xml:space="preserve"> we implement reasonable adjustments under the Equality Act 2010 (curriculum, environment, information) and maintain a published, regularly reviewed </w:t>
      </w:r>
      <w:r w:rsidRPr="0086273E">
        <w:rPr>
          <w:rFonts w:ascii="Segoe UI" w:eastAsia="Times New Roman" w:hAnsi="Segoe UI" w:cs="Segoe UI"/>
          <w:b/>
          <w:bCs/>
          <w:sz w:val="21"/>
          <w:szCs w:val="21"/>
          <w:lang w:val="en-GB" w:eastAsia="en-GB"/>
        </w:rPr>
        <w:t>Accessibility Plan</w:t>
      </w:r>
      <w:r w:rsidRPr="0086273E">
        <w:rPr>
          <w:rFonts w:ascii="Segoe UI" w:eastAsia="Times New Roman" w:hAnsi="Segoe UI" w:cs="Segoe UI"/>
          <w:sz w:val="21"/>
          <w:szCs w:val="21"/>
          <w:lang w:val="en-GB" w:eastAsia="en-GB"/>
        </w:rPr>
        <w:t xml:space="preserve"> to improve access; resource planning includes class</w:t>
      </w:r>
      <w:r w:rsidRPr="0086273E">
        <w:rPr>
          <w:rFonts w:ascii="Segoe UI" w:eastAsia="Times New Roman" w:hAnsi="Segoe UI" w:cs="Segoe UI"/>
          <w:sz w:val="21"/>
          <w:szCs w:val="21"/>
          <w:lang w:val="en-GB" w:eastAsia="en-GB"/>
        </w:rPr>
        <w:noBreakHyphen/>
        <w:t>level universal tools (e.g., overlays, writing frames, manipulatives) and pupil</w:t>
      </w:r>
      <w:r w:rsidRPr="0086273E">
        <w:rPr>
          <w:rFonts w:ascii="Segoe UI" w:eastAsia="Times New Roman" w:hAnsi="Segoe UI" w:cs="Segoe UI"/>
          <w:sz w:val="21"/>
          <w:szCs w:val="21"/>
          <w:lang w:val="en-GB" w:eastAsia="en-GB"/>
        </w:rPr>
        <w:noBreakHyphen/>
        <w:t>specific equipment where required.</w:t>
      </w:r>
    </w:p>
    <w:p w14:paraId="2D90EBAF" w14:textId="77777777" w:rsidR="00B36C6D" w:rsidRDefault="00C94C11">
      <w:pPr>
        <w:pStyle w:val="Heading3"/>
      </w:pPr>
      <w:r>
        <w:t>14. Roles and responsibilities</w:t>
      </w:r>
    </w:p>
    <w:p w14:paraId="60F54206" w14:textId="12CA1DCC" w:rsidR="0086273E" w:rsidRDefault="0086273E" w:rsidP="0086273E">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SENCo / Inclusion Manager:</w:t>
      </w:r>
      <w:r>
        <w:rPr>
          <w:rFonts w:ascii="Segoe UI" w:hAnsi="Segoe UI" w:cs="Segoe UI"/>
          <w:sz w:val="21"/>
          <w:szCs w:val="21"/>
        </w:rPr>
        <w:t xml:space="preserve"> </w:t>
      </w:r>
      <w:r>
        <w:rPr>
          <w:rStyle w:val="Strong"/>
          <w:rFonts w:ascii="Segoe UI" w:hAnsi="Segoe UI" w:cs="Segoe UI"/>
          <w:sz w:val="21"/>
          <w:szCs w:val="21"/>
        </w:rPr>
        <w:t xml:space="preserve">Eleanor </w:t>
      </w:r>
      <w:proofErr w:type="spellStart"/>
      <w:r>
        <w:rPr>
          <w:rStyle w:val="Strong"/>
          <w:rFonts w:ascii="Segoe UI" w:hAnsi="Segoe UI" w:cs="Segoe UI"/>
          <w:sz w:val="21"/>
          <w:szCs w:val="21"/>
        </w:rPr>
        <w:t>Blachford</w:t>
      </w:r>
      <w:proofErr w:type="spellEnd"/>
      <w:r>
        <w:rPr>
          <w:rFonts w:ascii="Segoe UI" w:hAnsi="Segoe UI" w:cs="Segoe UI"/>
          <w:sz w:val="21"/>
          <w:szCs w:val="21"/>
        </w:rPr>
        <w:t xml:space="preserve"> – strategic coordination of SEND, oversight of the graduated approach, liaison with external professionals, reporting to governors, ensuring consistency with emerging National SEND Standards, coordinating Early Help where appropriate, and ensuring staff are trained to meet safeguarding expectations for pupils with SEND (KCSIE 2024–25). </w:t>
      </w:r>
    </w:p>
    <w:p w14:paraId="3BF2D5D1" w14:textId="32C64239" w:rsidR="0086273E" w:rsidRDefault="0086273E" w:rsidP="0086273E">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Class teachers:</w:t>
      </w:r>
      <w:r>
        <w:rPr>
          <w:rFonts w:ascii="Segoe UI" w:hAnsi="Segoe UI" w:cs="Segoe UI"/>
          <w:sz w:val="21"/>
          <w:szCs w:val="21"/>
        </w:rPr>
        <w:t xml:space="preserve"> are responsible and accountable for the progress and development of all pupils in their class, including those receiving support from TAs/specialists. They implement HQIT + OAP, maintain I</w:t>
      </w:r>
      <w:r w:rsidR="00C94C11">
        <w:rPr>
          <w:rFonts w:ascii="Segoe UI" w:hAnsi="Segoe UI" w:cs="Segoe UI"/>
          <w:sz w:val="21"/>
          <w:szCs w:val="21"/>
        </w:rPr>
        <w:t>EP</w:t>
      </w:r>
      <w:r>
        <w:rPr>
          <w:rFonts w:ascii="Segoe UI" w:hAnsi="Segoe UI" w:cs="Segoe UI"/>
          <w:sz w:val="21"/>
          <w:szCs w:val="21"/>
        </w:rPr>
        <w:t xml:space="preserve">s with measurable outcomes and entry/exit criteria, and evaluate impact at least termly with parents and pupils. </w:t>
      </w:r>
    </w:p>
    <w:p w14:paraId="6E019382" w14:textId="7AF682B7" w:rsidR="0086273E" w:rsidRDefault="0086273E" w:rsidP="0086273E">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Support staff:</w:t>
      </w:r>
      <w:r>
        <w:rPr>
          <w:rFonts w:ascii="Segoe UI" w:hAnsi="Segoe UI" w:cs="Segoe UI"/>
          <w:sz w:val="21"/>
          <w:szCs w:val="21"/>
        </w:rPr>
        <w:t xml:space="preserve"> implement interventions under teacher/SENCo guidance (e.g., precision teaching), contribute to I</w:t>
      </w:r>
      <w:r w:rsidR="00C94C11">
        <w:rPr>
          <w:rFonts w:ascii="Segoe UI" w:hAnsi="Segoe UI" w:cs="Segoe UI"/>
          <w:sz w:val="21"/>
          <w:szCs w:val="21"/>
        </w:rPr>
        <w:t>E</w:t>
      </w:r>
      <w:r>
        <w:rPr>
          <w:rFonts w:ascii="Segoe UI" w:hAnsi="Segoe UI" w:cs="Segoe UI"/>
          <w:sz w:val="21"/>
          <w:szCs w:val="21"/>
        </w:rPr>
        <w:t xml:space="preserve">P reviews with progress notes, liaise with teachers/parents and promote independence. </w:t>
      </w:r>
    </w:p>
    <w:p w14:paraId="4D84C13C" w14:textId="04222B4D" w:rsidR="0086273E" w:rsidRDefault="0086273E" w:rsidP="0086273E">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Headteacher:</w:t>
      </w:r>
      <w:r>
        <w:rPr>
          <w:rFonts w:ascii="Segoe UI" w:hAnsi="Segoe UI" w:cs="Segoe UI"/>
          <w:sz w:val="21"/>
          <w:szCs w:val="21"/>
        </w:rPr>
        <w:t xml:space="preserve"> overall responsibility for ensuring inclusive culture and provision, monitoring progress of vulnerable learners and allocating resources accordingly. </w:t>
      </w:r>
    </w:p>
    <w:p w14:paraId="14FBD6A4" w14:textId="5E01A9AE" w:rsidR="00B36C6D" w:rsidRPr="0086273E" w:rsidRDefault="0086273E" w:rsidP="0086273E">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Governors with SEND responsibility:</w:t>
      </w:r>
      <w:r>
        <w:rPr>
          <w:rFonts w:ascii="Segoe UI" w:hAnsi="Segoe UI" w:cs="Segoe UI"/>
          <w:sz w:val="21"/>
          <w:szCs w:val="21"/>
        </w:rPr>
        <w:t xml:space="preserve"> </w:t>
      </w:r>
      <w:r>
        <w:rPr>
          <w:rStyle w:val="Strong"/>
          <w:rFonts w:ascii="Segoe UI" w:hAnsi="Segoe UI" w:cs="Segoe UI"/>
          <w:sz w:val="21"/>
          <w:szCs w:val="21"/>
        </w:rPr>
        <w:t xml:space="preserve">Jonathan </w:t>
      </w:r>
      <w:proofErr w:type="spellStart"/>
      <w:r>
        <w:rPr>
          <w:rStyle w:val="Strong"/>
          <w:rFonts w:ascii="Segoe UI" w:hAnsi="Segoe UI" w:cs="Segoe UI"/>
          <w:sz w:val="21"/>
          <w:szCs w:val="21"/>
        </w:rPr>
        <w:t>Hingston</w:t>
      </w:r>
      <w:proofErr w:type="spellEnd"/>
      <w:r>
        <w:rPr>
          <w:rFonts w:ascii="Segoe UI" w:hAnsi="Segoe UI" w:cs="Segoe UI"/>
          <w:sz w:val="21"/>
          <w:szCs w:val="21"/>
        </w:rPr>
        <w:t xml:space="preserve"> – monitor the effectiveness of SEND provision and policy implementation; ensure inclusion is integral to school improvement; oversee the Accessibility Plan</w:t>
      </w:r>
      <w:r w:rsidR="00C94C11">
        <w:rPr>
          <w:rFonts w:ascii="Segoe UI" w:hAnsi="Segoe UI" w:cs="Segoe UI"/>
          <w:sz w:val="21"/>
          <w:szCs w:val="21"/>
        </w:rPr>
        <w:t>.</w:t>
      </w:r>
    </w:p>
    <w:p w14:paraId="1C660236" w14:textId="77777777" w:rsidR="00B36C6D" w:rsidRDefault="00C94C11">
      <w:pPr>
        <w:pStyle w:val="Heading3"/>
      </w:pPr>
      <w:r>
        <w:t>15. Monitoring and evaluation</w:t>
      </w:r>
    </w:p>
    <w:p w14:paraId="20A82306" w14:textId="43110ED5" w:rsidR="00B36C6D" w:rsidRDefault="00C94C11" w:rsidP="0086273E">
      <w:r>
        <w:t>The SENCo reports termly to the Curriculum Committee; the Headteacher and SEND link governors evaluate the effectiveness of provision and outcomes. Pra</w:t>
      </w:r>
      <w:r>
        <w:t>ctice is updated in line with evolving evidence and Local Authority guidance (including the Hampshire OAP 2025).</w:t>
      </w:r>
    </w:p>
    <w:p w14:paraId="6D545D2A" w14:textId="77777777" w:rsidR="00B36C6D" w:rsidRDefault="00C94C11">
      <w:pPr>
        <w:pStyle w:val="Heading3"/>
      </w:pPr>
      <w:r>
        <w:t>16. Complaints</w:t>
      </w:r>
    </w:p>
    <w:p w14:paraId="5887191B" w14:textId="5380BD68" w:rsidR="00B36C6D" w:rsidRDefault="00C94C11">
      <w:r>
        <w:t>Concerns about SEND provision should be raised with the class teacher/SENCo in the first instance; formal complaints follow the</w:t>
      </w:r>
      <w:r>
        <w:t xml:space="preserve"> school’s Complaints Policy.</w:t>
      </w:r>
    </w:p>
    <w:p w14:paraId="058C84B7" w14:textId="6B6E26D7" w:rsidR="0086273E" w:rsidRDefault="0086273E" w:rsidP="0086273E">
      <w:pPr>
        <w:pStyle w:val="Heading3"/>
        <w:spacing w:line="300" w:lineRule="atLeast"/>
        <w:rPr>
          <w:rFonts w:ascii="Segoe UI" w:hAnsi="Segoe UI" w:cs="Segoe UI"/>
        </w:rPr>
      </w:pPr>
      <w:r>
        <w:rPr>
          <w:rFonts w:ascii="Segoe UI" w:hAnsi="Segoe UI" w:cs="Segoe UI"/>
        </w:rPr>
        <w:lastRenderedPageBreak/>
        <w:t xml:space="preserve">17. Working with external agencies </w:t>
      </w:r>
    </w:p>
    <w:p w14:paraId="7ACC0C03" w14:textId="553F6F4A" w:rsidR="0086273E" w:rsidRDefault="0086273E" w:rsidP="0086273E">
      <w:pPr>
        <w:pStyle w:val="NormalWeb"/>
        <w:spacing w:line="300" w:lineRule="atLeast"/>
        <w:rPr>
          <w:rFonts w:ascii="Segoe UI" w:hAnsi="Segoe UI" w:cs="Segoe UI"/>
          <w:sz w:val="21"/>
          <w:szCs w:val="21"/>
        </w:rPr>
      </w:pPr>
      <w:r>
        <w:rPr>
          <w:rFonts w:ascii="Segoe UI" w:hAnsi="Segoe UI" w:cs="Segoe UI"/>
          <w:sz w:val="21"/>
          <w:szCs w:val="21"/>
        </w:rPr>
        <w:t xml:space="preserve">Compton works closely with </w:t>
      </w:r>
      <w:r w:rsidRPr="00C94C11">
        <w:rPr>
          <w:rFonts w:ascii="Segoe UI" w:hAnsi="Segoe UI" w:cs="Segoe UI"/>
          <w:sz w:val="21"/>
          <w:szCs w:val="21"/>
        </w:rPr>
        <w:t xml:space="preserve">a range of services to ensure coordinated, effective support: </w:t>
      </w:r>
      <w:r w:rsidRPr="00C94C11">
        <w:rPr>
          <w:rStyle w:val="Strong"/>
          <w:rFonts w:ascii="Segoe UI" w:eastAsiaTheme="majorEastAsia" w:hAnsi="Segoe UI" w:cs="Segoe UI"/>
          <w:b w:val="0"/>
          <w:bCs w:val="0"/>
          <w:sz w:val="21"/>
          <w:szCs w:val="21"/>
        </w:rPr>
        <w:t>NHS Integrated Care Boards (ICBs</w:t>
      </w:r>
      <w:r w:rsidRPr="00C94C11">
        <w:rPr>
          <w:rStyle w:val="Strong"/>
          <w:rFonts w:ascii="Segoe UI" w:eastAsiaTheme="majorEastAsia" w:hAnsi="Segoe UI" w:cs="Segoe UI"/>
          <w:sz w:val="21"/>
          <w:szCs w:val="21"/>
        </w:rPr>
        <w:t>)</w:t>
      </w:r>
      <w:r w:rsidRPr="00C94C11">
        <w:rPr>
          <w:rFonts w:ascii="Segoe UI" w:hAnsi="Segoe UI" w:cs="Segoe UI"/>
          <w:sz w:val="21"/>
          <w:szCs w:val="21"/>
        </w:rPr>
        <w:t xml:space="preserve">; Speech &amp; Language Therapy (SALT), Occupational Therapy (OT), Physiotherapy; Educational Psychology; the </w:t>
      </w:r>
      <w:r w:rsidRPr="00C94C11">
        <w:rPr>
          <w:rStyle w:val="Strong"/>
          <w:rFonts w:ascii="Segoe UI" w:eastAsiaTheme="majorEastAsia" w:hAnsi="Segoe UI" w:cs="Segoe UI"/>
          <w:b w:val="0"/>
          <w:bCs w:val="0"/>
          <w:sz w:val="21"/>
          <w:szCs w:val="21"/>
        </w:rPr>
        <w:t>Primary Behaviour Service (PBS)</w:t>
      </w:r>
      <w:r w:rsidRPr="00C94C11">
        <w:rPr>
          <w:rFonts w:ascii="Segoe UI" w:hAnsi="Segoe UI" w:cs="Segoe UI"/>
          <w:b/>
          <w:bCs/>
          <w:sz w:val="21"/>
          <w:szCs w:val="21"/>
        </w:rPr>
        <w:t>;</w:t>
      </w:r>
      <w:r w:rsidRPr="00C94C11">
        <w:rPr>
          <w:rFonts w:ascii="Segoe UI" w:hAnsi="Segoe UI" w:cs="Segoe UI"/>
          <w:sz w:val="21"/>
          <w:szCs w:val="21"/>
        </w:rPr>
        <w:t xml:space="preserve"> and multi</w:t>
      </w:r>
      <w:r w:rsidRPr="00C94C11">
        <w:rPr>
          <w:rFonts w:ascii="Segoe UI" w:hAnsi="Segoe UI" w:cs="Segoe UI"/>
          <w:sz w:val="21"/>
          <w:szCs w:val="21"/>
        </w:rPr>
        <w:noBreakHyphen/>
        <w:t xml:space="preserve">agency pathways such as the </w:t>
      </w:r>
      <w:r w:rsidRPr="00C94C11">
        <w:rPr>
          <w:rStyle w:val="Strong"/>
          <w:rFonts w:ascii="Segoe UI" w:eastAsiaTheme="majorEastAsia" w:hAnsi="Segoe UI" w:cs="Segoe UI"/>
          <w:b w:val="0"/>
          <w:bCs w:val="0"/>
          <w:sz w:val="21"/>
          <w:szCs w:val="21"/>
        </w:rPr>
        <w:t>Early Help Hub (EHH)</w:t>
      </w:r>
      <w:r w:rsidRPr="00C94C11">
        <w:rPr>
          <w:rFonts w:ascii="Segoe UI" w:hAnsi="Segoe UI" w:cs="Segoe UI"/>
          <w:sz w:val="21"/>
          <w:szCs w:val="21"/>
        </w:rPr>
        <w:t xml:space="preserve"> where appropriate.</w:t>
      </w:r>
      <w:r>
        <w:rPr>
          <w:rFonts w:ascii="Segoe UI" w:hAnsi="Segoe UI" w:cs="Segoe UI"/>
          <w:sz w:val="21"/>
          <w:szCs w:val="21"/>
        </w:rPr>
        <w:t xml:space="preserve"> Referrals comply with statutory guidance and aim to minimise disruption to learning. </w:t>
      </w:r>
    </w:p>
    <w:p w14:paraId="00F5BD63" w14:textId="6BE9CC15" w:rsidR="0086273E" w:rsidRDefault="0086273E" w:rsidP="0086273E">
      <w:pPr>
        <w:pStyle w:val="Heading3"/>
        <w:spacing w:line="300" w:lineRule="atLeast"/>
        <w:rPr>
          <w:rFonts w:ascii="Segoe UI" w:hAnsi="Segoe UI" w:cs="Segoe UI"/>
          <w:sz w:val="27"/>
          <w:szCs w:val="27"/>
        </w:rPr>
      </w:pPr>
      <w:r>
        <w:rPr>
          <w:rFonts w:ascii="Segoe UI" w:hAnsi="Segoe UI" w:cs="Segoe UI"/>
        </w:rPr>
        <w:t xml:space="preserve">18. Safeguarding and SEND </w:t>
      </w:r>
    </w:p>
    <w:p w14:paraId="6E6F40D3" w14:textId="7D9D3C3A" w:rsidR="0086273E" w:rsidRDefault="0086273E" w:rsidP="0086273E">
      <w:pPr>
        <w:pStyle w:val="NormalWeb"/>
        <w:spacing w:line="300" w:lineRule="atLeast"/>
        <w:rPr>
          <w:rFonts w:ascii="Segoe UI" w:hAnsi="Segoe UI" w:cs="Segoe UI"/>
          <w:sz w:val="21"/>
          <w:szCs w:val="21"/>
        </w:rPr>
      </w:pPr>
      <w:r>
        <w:rPr>
          <w:rFonts w:ascii="Segoe UI" w:hAnsi="Segoe UI" w:cs="Segoe UI"/>
          <w:sz w:val="21"/>
          <w:szCs w:val="21"/>
        </w:rPr>
        <w:t xml:space="preserve">Children with SEND can be disproportionately vulnerable to safeguarding concerns. Staff receive training to recognise additional indicators of abuse/neglect in children with communication difficulties, disabilities or SEMH needs; reasonable adjustments are made so pupils can communicate concerns effectively. Our procedures align with </w:t>
      </w:r>
      <w:r w:rsidRPr="00C94C11">
        <w:rPr>
          <w:rStyle w:val="Strong"/>
          <w:rFonts w:ascii="Segoe UI" w:eastAsiaTheme="majorEastAsia" w:hAnsi="Segoe UI" w:cs="Segoe UI"/>
          <w:b w:val="0"/>
          <w:bCs w:val="0"/>
          <w:sz w:val="21"/>
          <w:szCs w:val="21"/>
        </w:rPr>
        <w:t>KCSIE 2024–25</w:t>
      </w:r>
      <w:r>
        <w:rPr>
          <w:rFonts w:ascii="Segoe UI" w:hAnsi="Segoe UI" w:cs="Segoe UI"/>
          <w:sz w:val="21"/>
          <w:szCs w:val="21"/>
        </w:rPr>
        <w:t xml:space="preserve"> and the school’s Child Protection &amp; Safeguarding Policy. </w:t>
      </w:r>
    </w:p>
    <w:p w14:paraId="3D16D1E5" w14:textId="762D0A15" w:rsidR="0086273E" w:rsidRDefault="0086273E" w:rsidP="0086273E">
      <w:pPr>
        <w:pStyle w:val="Heading3"/>
        <w:spacing w:line="300" w:lineRule="atLeast"/>
        <w:rPr>
          <w:rFonts w:ascii="Segoe UI" w:hAnsi="Segoe UI" w:cs="Segoe UI"/>
          <w:sz w:val="27"/>
          <w:szCs w:val="27"/>
        </w:rPr>
      </w:pPr>
      <w:r>
        <w:rPr>
          <w:rFonts w:ascii="Segoe UI" w:hAnsi="Segoe UI" w:cs="Segoe UI"/>
        </w:rPr>
        <w:t xml:space="preserve">19. </w:t>
      </w:r>
      <w:proofErr w:type="spellStart"/>
      <w:r>
        <w:rPr>
          <w:rFonts w:ascii="Segoe UI" w:hAnsi="Segoe UI" w:cs="Segoe UI"/>
        </w:rPr>
        <w:t>Behaviour</w:t>
      </w:r>
      <w:proofErr w:type="spellEnd"/>
      <w:r>
        <w:rPr>
          <w:rFonts w:ascii="Segoe UI" w:hAnsi="Segoe UI" w:cs="Segoe UI"/>
        </w:rPr>
        <w:t xml:space="preserve"> and exclusions </w:t>
      </w:r>
    </w:p>
    <w:p w14:paraId="51DAFC98" w14:textId="79133BD3" w:rsidR="00B36C6D" w:rsidRDefault="0086273E" w:rsidP="0086273E">
      <w:pPr>
        <w:pStyle w:val="NormalWeb"/>
        <w:spacing w:line="300" w:lineRule="atLeast"/>
        <w:rPr>
          <w:rFonts w:ascii="Segoe UI" w:hAnsi="Segoe UI" w:cs="Segoe UI"/>
          <w:sz w:val="21"/>
          <w:szCs w:val="21"/>
        </w:rPr>
      </w:pPr>
      <w:r>
        <w:rPr>
          <w:rFonts w:ascii="Segoe UI" w:hAnsi="Segoe UI" w:cs="Segoe UI"/>
          <w:sz w:val="21"/>
          <w:szCs w:val="21"/>
        </w:rPr>
        <w:t xml:space="preserve">Behaviour expectations are consistent, fair and inclusive, </w:t>
      </w:r>
      <w:r w:rsidRPr="00C94C11">
        <w:rPr>
          <w:rFonts w:ascii="Segoe UI" w:hAnsi="Segoe UI" w:cs="Segoe UI"/>
          <w:sz w:val="21"/>
          <w:szCs w:val="21"/>
        </w:rPr>
        <w:t>following</w:t>
      </w:r>
      <w:r w:rsidRPr="00C94C11">
        <w:rPr>
          <w:rFonts w:ascii="Segoe UI" w:hAnsi="Segoe UI" w:cs="Segoe UI"/>
          <w:b/>
          <w:bCs/>
          <w:sz w:val="21"/>
          <w:szCs w:val="21"/>
        </w:rPr>
        <w:t xml:space="preserve"> </w:t>
      </w:r>
      <w:r w:rsidRPr="00C94C11">
        <w:rPr>
          <w:rStyle w:val="Strong"/>
          <w:rFonts w:ascii="Segoe UI" w:eastAsiaTheme="majorEastAsia" w:hAnsi="Segoe UI" w:cs="Segoe UI"/>
          <w:b w:val="0"/>
          <w:bCs w:val="0"/>
          <w:sz w:val="21"/>
          <w:szCs w:val="21"/>
        </w:rPr>
        <w:t>DfE Behaviour in Schools (2022)</w:t>
      </w:r>
      <w:r w:rsidRPr="00C94C11">
        <w:rPr>
          <w:rFonts w:ascii="Segoe UI" w:hAnsi="Segoe UI" w:cs="Segoe UI"/>
          <w:b/>
          <w:bCs/>
          <w:sz w:val="21"/>
          <w:szCs w:val="21"/>
        </w:rPr>
        <w:t>.</w:t>
      </w:r>
      <w:r>
        <w:rPr>
          <w:rFonts w:ascii="Segoe UI" w:hAnsi="Segoe UI" w:cs="Segoe UI"/>
          <w:sz w:val="21"/>
          <w:szCs w:val="21"/>
        </w:rPr>
        <w:t xml:space="preserve"> When considering sanctions, including suspension or exclusion, staff consider whether a pupil’s SEND contributed to the behaviour and whether reasonable adjustments, support and teaching responses were in place. Where needed,</w:t>
      </w:r>
      <w:r w:rsidR="00C94C11">
        <w:rPr>
          <w:rFonts w:ascii="Segoe UI" w:hAnsi="Segoe UI" w:cs="Segoe UI"/>
          <w:sz w:val="21"/>
          <w:szCs w:val="21"/>
        </w:rPr>
        <w:t xml:space="preserve"> behaviour targets</w:t>
      </w:r>
      <w:r>
        <w:rPr>
          <w:rFonts w:ascii="Segoe UI" w:hAnsi="Segoe UI" w:cs="Segoe UI"/>
          <w:sz w:val="21"/>
          <w:szCs w:val="21"/>
        </w:rPr>
        <w:t xml:space="preserve"> are created </w:t>
      </w:r>
      <w:r w:rsidR="00C94C11">
        <w:rPr>
          <w:rFonts w:ascii="Segoe UI" w:hAnsi="Segoe UI" w:cs="Segoe UI"/>
          <w:sz w:val="21"/>
          <w:szCs w:val="21"/>
        </w:rPr>
        <w:t xml:space="preserve">as part of a child’s IEP </w:t>
      </w:r>
      <w:r>
        <w:rPr>
          <w:rFonts w:ascii="Segoe UI" w:hAnsi="Segoe UI" w:cs="Segoe UI"/>
          <w:sz w:val="21"/>
          <w:szCs w:val="21"/>
        </w:rPr>
        <w:t>and reviewed for effectiveness. See the school Behaviour Policy for further detail.</w:t>
      </w:r>
    </w:p>
    <w:p w14:paraId="65B1A455" w14:textId="6AFA459D" w:rsidR="001E7AB9" w:rsidRDefault="001E7AB9" w:rsidP="0086273E">
      <w:pPr>
        <w:pStyle w:val="NormalWeb"/>
        <w:spacing w:line="300" w:lineRule="atLeast"/>
        <w:rPr>
          <w:rFonts w:ascii="Segoe UI" w:hAnsi="Segoe UI" w:cs="Segoe UI"/>
          <w:sz w:val="21"/>
          <w:szCs w:val="21"/>
        </w:rPr>
      </w:pPr>
    </w:p>
    <w:p w14:paraId="1E4D9817" w14:textId="21D06E2B" w:rsidR="001E7AB9" w:rsidRDefault="001E7AB9" w:rsidP="0086273E">
      <w:pPr>
        <w:pStyle w:val="NormalWeb"/>
        <w:spacing w:line="300" w:lineRule="atLeast"/>
        <w:rPr>
          <w:rFonts w:ascii="Segoe UI" w:hAnsi="Segoe UI" w:cs="Segoe UI"/>
          <w:sz w:val="21"/>
          <w:szCs w:val="21"/>
        </w:rPr>
      </w:pPr>
    </w:p>
    <w:p w14:paraId="541F29DB" w14:textId="4A95A647" w:rsidR="001E7AB9" w:rsidRDefault="001E7AB9" w:rsidP="0086273E">
      <w:pPr>
        <w:pStyle w:val="NormalWeb"/>
        <w:spacing w:line="300" w:lineRule="atLeast"/>
        <w:rPr>
          <w:rFonts w:ascii="Segoe UI" w:hAnsi="Segoe UI" w:cs="Segoe UI"/>
          <w:sz w:val="21"/>
          <w:szCs w:val="21"/>
        </w:rPr>
      </w:pPr>
    </w:p>
    <w:p w14:paraId="6A18C4F6" w14:textId="53490308" w:rsidR="001E7AB9" w:rsidRDefault="001E7AB9" w:rsidP="0086273E">
      <w:pPr>
        <w:pStyle w:val="NormalWeb"/>
        <w:spacing w:line="300" w:lineRule="atLeast"/>
        <w:rPr>
          <w:rFonts w:ascii="Segoe UI" w:hAnsi="Segoe UI" w:cs="Segoe UI"/>
          <w:sz w:val="21"/>
          <w:szCs w:val="21"/>
        </w:rPr>
      </w:pPr>
    </w:p>
    <w:p w14:paraId="330638CD" w14:textId="10BDE3B9" w:rsidR="001E7AB9" w:rsidRDefault="001E7AB9" w:rsidP="0086273E">
      <w:pPr>
        <w:pStyle w:val="NormalWeb"/>
        <w:spacing w:line="300" w:lineRule="atLeast"/>
        <w:rPr>
          <w:rFonts w:ascii="Segoe UI" w:hAnsi="Segoe UI" w:cs="Segoe UI"/>
          <w:sz w:val="21"/>
          <w:szCs w:val="21"/>
        </w:rPr>
      </w:pPr>
    </w:p>
    <w:p w14:paraId="5FD5DC1D" w14:textId="2A6A2F4F" w:rsidR="001E7AB9" w:rsidRDefault="001E7AB9" w:rsidP="0086273E">
      <w:pPr>
        <w:pStyle w:val="NormalWeb"/>
        <w:spacing w:line="300" w:lineRule="atLeast"/>
        <w:rPr>
          <w:rFonts w:ascii="Segoe UI" w:hAnsi="Segoe UI" w:cs="Segoe UI"/>
          <w:sz w:val="21"/>
          <w:szCs w:val="21"/>
        </w:rPr>
      </w:pPr>
    </w:p>
    <w:p w14:paraId="46A5BD52" w14:textId="5F5CC18A" w:rsidR="001E7AB9" w:rsidRDefault="001E7AB9" w:rsidP="0086273E">
      <w:pPr>
        <w:pStyle w:val="NormalWeb"/>
        <w:spacing w:line="300" w:lineRule="atLeast"/>
        <w:rPr>
          <w:rFonts w:ascii="Segoe UI" w:hAnsi="Segoe UI" w:cs="Segoe UI"/>
          <w:sz w:val="21"/>
          <w:szCs w:val="21"/>
        </w:rPr>
      </w:pPr>
    </w:p>
    <w:p w14:paraId="27F8AB54" w14:textId="77777777" w:rsidR="00B36C6D" w:rsidRDefault="00B36C6D">
      <w:pPr>
        <w:pBdr>
          <w:top w:val="single" w:sz="12" w:space="0" w:color="auto"/>
        </w:pBdr>
        <w:spacing w:after="0"/>
      </w:pPr>
    </w:p>
    <w:p w14:paraId="09D17775" w14:textId="77777777" w:rsidR="00B36C6D" w:rsidRDefault="00C94C11">
      <w:pPr>
        <w:pStyle w:val="Heading3"/>
      </w:pPr>
      <w:r>
        <w:t>Sign‑off</w:t>
      </w:r>
    </w:p>
    <w:p w14:paraId="43E070FC" w14:textId="77777777" w:rsidR="00B36C6D" w:rsidRDefault="00C94C11">
      <w:r>
        <w:rPr>
          <w:b/>
          <w:bCs/>
        </w:rPr>
        <w:t>Headteacher:</w:t>
      </w:r>
      <w:r>
        <w:t xml:space="preserve"> </w:t>
      </w:r>
      <w:r>
        <w:rPr>
          <w:b/>
          <w:bCs/>
        </w:rPr>
        <w:t>___  Date: _</w:t>
      </w:r>
      <w:r>
        <w:t>___</w:t>
      </w:r>
    </w:p>
    <w:p w14:paraId="145B5734" w14:textId="77777777" w:rsidR="00B36C6D" w:rsidRDefault="00C94C11">
      <w:r>
        <w:rPr>
          <w:b/>
          <w:bCs/>
        </w:rPr>
        <w:t>Chair of Governors:</w:t>
      </w:r>
      <w:r>
        <w:t xml:space="preserve"> </w:t>
      </w:r>
      <w:r>
        <w:rPr>
          <w:b/>
          <w:bCs/>
        </w:rPr>
        <w:t>_  Date: _</w:t>
      </w:r>
      <w:r>
        <w:t>___</w:t>
      </w:r>
    </w:p>
    <w:p w14:paraId="0F2D2FB3" w14:textId="77777777" w:rsidR="00B36C6D" w:rsidRDefault="00B36C6D">
      <w:pPr>
        <w:pBdr>
          <w:top w:val="single" w:sz="12" w:space="0" w:color="auto"/>
        </w:pBdr>
        <w:spacing w:after="0"/>
      </w:pPr>
    </w:p>
    <w:p w14:paraId="0B558A67" w14:textId="38E8CA01" w:rsidR="00B36C6D" w:rsidRDefault="00B36C6D" w:rsidP="0086273E">
      <w:pPr>
        <w:pStyle w:val="ListParagraph"/>
      </w:pPr>
    </w:p>
    <w:sectPr w:rsidR="00B36C6D" w:rsidSect="0086273E">
      <w:footerReference w:type="default" r:id="rId8"/>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6F385" w14:textId="77777777" w:rsidR="0086273E" w:rsidRDefault="0086273E" w:rsidP="0086273E">
      <w:pPr>
        <w:spacing w:after="0" w:line="240" w:lineRule="auto"/>
      </w:pPr>
      <w:r>
        <w:separator/>
      </w:r>
    </w:p>
  </w:endnote>
  <w:endnote w:type="continuationSeparator" w:id="0">
    <w:p w14:paraId="0580EF12" w14:textId="77777777" w:rsidR="0086273E" w:rsidRDefault="0086273E" w:rsidP="00862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Eras ITC">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BAA0B" w14:textId="77777777" w:rsidR="0086273E" w:rsidRPr="00A01CA1" w:rsidRDefault="0086273E" w:rsidP="0086273E">
    <w:pPr>
      <w:pStyle w:val="Footer"/>
      <w:rPr>
        <w:sz w:val="32"/>
        <w:szCs w:val="32"/>
      </w:rPr>
    </w:pPr>
    <w:r w:rsidRPr="00A01CA1">
      <w:rPr>
        <w:rFonts w:cstheme="minorHAnsi"/>
        <w:b/>
        <w:color w:val="002060"/>
        <w:sz w:val="32"/>
        <w:szCs w:val="32"/>
      </w:rPr>
      <w:t>TRUTH</w:t>
    </w:r>
    <w:r w:rsidRPr="00A01CA1">
      <w:rPr>
        <w:rFonts w:cstheme="minorHAnsi"/>
        <w:b/>
        <w:color w:val="002060"/>
        <w:sz w:val="32"/>
        <w:szCs w:val="32"/>
      </w:rPr>
      <w:tab/>
      <w:t xml:space="preserve">   GRACE</w:t>
    </w:r>
    <w:r w:rsidRPr="00A01CA1">
      <w:rPr>
        <w:rFonts w:cstheme="minorHAnsi"/>
        <w:b/>
        <w:color w:val="002060"/>
        <w:sz w:val="32"/>
        <w:szCs w:val="32"/>
      </w:rPr>
      <w:tab/>
      <w:t xml:space="preserve">      </w:t>
    </w:r>
    <w:r>
      <w:rPr>
        <w:rFonts w:cstheme="minorHAnsi"/>
        <w:b/>
        <w:color w:val="002060"/>
        <w:sz w:val="32"/>
        <w:szCs w:val="32"/>
      </w:rPr>
      <w:t xml:space="preserve">   </w:t>
    </w:r>
    <w:r w:rsidRPr="00A01CA1">
      <w:rPr>
        <w:rFonts w:cstheme="minorHAnsi"/>
        <w:b/>
        <w:color w:val="002060"/>
        <w:sz w:val="32"/>
        <w:szCs w:val="32"/>
      </w:rPr>
      <w:t>COURAGE</w:t>
    </w:r>
  </w:p>
  <w:p w14:paraId="54DB361F" w14:textId="77777777" w:rsidR="0086273E" w:rsidRDefault="00862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B4B66" w14:textId="77777777" w:rsidR="0086273E" w:rsidRDefault="0086273E" w:rsidP="0086273E">
      <w:pPr>
        <w:spacing w:after="0" w:line="240" w:lineRule="auto"/>
      </w:pPr>
      <w:r>
        <w:separator/>
      </w:r>
    </w:p>
  </w:footnote>
  <w:footnote w:type="continuationSeparator" w:id="0">
    <w:p w14:paraId="710CFC18" w14:textId="77777777" w:rsidR="0086273E" w:rsidRDefault="0086273E" w:rsidP="00862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37243"/>
    <w:multiLevelType w:val="hybridMultilevel"/>
    <w:tmpl w:val="AC966896"/>
    <w:lvl w:ilvl="0" w:tplc="C33412CA">
      <w:start w:val="1"/>
      <w:numFmt w:val="bullet"/>
      <w:lvlText w:val=""/>
      <w:lvlJc w:val="left"/>
      <w:pPr>
        <w:ind w:left="720" w:hanging="360"/>
      </w:pPr>
      <w:rPr>
        <w:rFonts w:ascii="Symbol" w:eastAsia="Symbol" w:hAnsi="Symbol" w:cs="Symbol"/>
      </w:rPr>
    </w:lvl>
    <w:lvl w:ilvl="1" w:tplc="24EE1FE2">
      <w:start w:val="1"/>
      <w:numFmt w:val="bullet"/>
      <w:lvlText w:val="o"/>
      <w:lvlJc w:val="left"/>
      <w:pPr>
        <w:ind w:left="1440" w:hanging="360"/>
      </w:pPr>
      <w:rPr>
        <w:rFonts w:ascii="Courier New" w:eastAsia="Courier New" w:hAnsi="Courier New" w:cs="Courier New"/>
      </w:rPr>
    </w:lvl>
    <w:lvl w:ilvl="2" w:tplc="87B2444C">
      <w:start w:val="1"/>
      <w:numFmt w:val="bullet"/>
      <w:lvlText w:val=""/>
      <w:lvlJc w:val="left"/>
      <w:pPr>
        <w:ind w:left="2160" w:hanging="360"/>
      </w:pPr>
      <w:rPr>
        <w:rFonts w:ascii="Wingdings" w:eastAsia="Wingdings" w:hAnsi="Wingdings" w:cs="Wingdings"/>
      </w:rPr>
    </w:lvl>
    <w:lvl w:ilvl="3" w:tplc="63D43E26">
      <w:start w:val="1"/>
      <w:numFmt w:val="bullet"/>
      <w:lvlText w:val=""/>
      <w:lvlJc w:val="left"/>
      <w:pPr>
        <w:ind w:left="2880" w:hanging="360"/>
      </w:pPr>
      <w:rPr>
        <w:rFonts w:ascii="Symbol" w:eastAsia="Symbol" w:hAnsi="Symbol" w:cs="Symbol"/>
      </w:rPr>
    </w:lvl>
    <w:lvl w:ilvl="4" w:tplc="CCA08D1A">
      <w:start w:val="1"/>
      <w:numFmt w:val="bullet"/>
      <w:lvlText w:val="o"/>
      <w:lvlJc w:val="left"/>
      <w:pPr>
        <w:ind w:left="3600" w:hanging="360"/>
      </w:pPr>
      <w:rPr>
        <w:rFonts w:ascii="Courier New" w:eastAsia="Courier New" w:hAnsi="Courier New" w:cs="Courier New"/>
      </w:rPr>
    </w:lvl>
    <w:lvl w:ilvl="5" w:tplc="7F9891CE">
      <w:start w:val="1"/>
      <w:numFmt w:val="bullet"/>
      <w:lvlText w:val=""/>
      <w:lvlJc w:val="left"/>
      <w:pPr>
        <w:ind w:left="4320" w:hanging="360"/>
      </w:pPr>
      <w:rPr>
        <w:rFonts w:ascii="Wingdings" w:eastAsia="Wingdings" w:hAnsi="Wingdings" w:cs="Wingdings"/>
      </w:rPr>
    </w:lvl>
    <w:lvl w:ilvl="6" w:tplc="0AE0893E">
      <w:start w:val="1"/>
      <w:numFmt w:val="bullet"/>
      <w:lvlText w:val=""/>
      <w:lvlJc w:val="left"/>
      <w:pPr>
        <w:ind w:left="5040" w:hanging="360"/>
      </w:pPr>
      <w:rPr>
        <w:rFonts w:ascii="Symbol" w:eastAsia="Symbol" w:hAnsi="Symbol" w:cs="Symbol"/>
      </w:rPr>
    </w:lvl>
    <w:lvl w:ilvl="7" w:tplc="893421B8">
      <w:start w:val="1"/>
      <w:numFmt w:val="bullet"/>
      <w:lvlText w:val="o"/>
      <w:lvlJc w:val="left"/>
      <w:pPr>
        <w:ind w:left="5760" w:hanging="360"/>
      </w:pPr>
      <w:rPr>
        <w:rFonts w:ascii="Courier New" w:eastAsia="Courier New" w:hAnsi="Courier New" w:cs="Courier New"/>
      </w:rPr>
    </w:lvl>
    <w:lvl w:ilvl="8" w:tplc="DE1A073C">
      <w:start w:val="1"/>
      <w:numFmt w:val="bullet"/>
      <w:lvlText w:val=""/>
      <w:lvlJc w:val="left"/>
      <w:pPr>
        <w:ind w:left="6480" w:hanging="360"/>
      </w:pPr>
      <w:rPr>
        <w:rFonts w:ascii="Wingdings" w:eastAsia="Wingdings" w:hAnsi="Wingdings" w:cs="Wingdings"/>
      </w:rPr>
    </w:lvl>
  </w:abstractNum>
  <w:abstractNum w:abstractNumId="1" w15:restartNumberingAfterBreak="0">
    <w:nsid w:val="221836E9"/>
    <w:multiLevelType w:val="hybridMultilevel"/>
    <w:tmpl w:val="7C6003F8"/>
    <w:lvl w:ilvl="0" w:tplc="95EE64DC">
      <w:start w:val="1"/>
      <w:numFmt w:val="bullet"/>
      <w:lvlText w:val=""/>
      <w:lvlJc w:val="left"/>
      <w:pPr>
        <w:ind w:left="720" w:hanging="360"/>
      </w:pPr>
      <w:rPr>
        <w:rFonts w:ascii="Symbol" w:eastAsia="Symbol" w:hAnsi="Symbol" w:cs="Symbol"/>
      </w:rPr>
    </w:lvl>
    <w:lvl w:ilvl="1" w:tplc="B6D6E1AA">
      <w:start w:val="1"/>
      <w:numFmt w:val="bullet"/>
      <w:lvlText w:val="o"/>
      <w:lvlJc w:val="left"/>
      <w:pPr>
        <w:ind w:left="1440" w:hanging="360"/>
      </w:pPr>
      <w:rPr>
        <w:rFonts w:ascii="Courier New" w:eastAsia="Courier New" w:hAnsi="Courier New" w:cs="Courier New"/>
      </w:rPr>
    </w:lvl>
    <w:lvl w:ilvl="2" w:tplc="FAB47458">
      <w:start w:val="1"/>
      <w:numFmt w:val="bullet"/>
      <w:lvlText w:val=""/>
      <w:lvlJc w:val="left"/>
      <w:pPr>
        <w:ind w:left="2160" w:hanging="360"/>
      </w:pPr>
      <w:rPr>
        <w:rFonts w:ascii="Wingdings" w:eastAsia="Wingdings" w:hAnsi="Wingdings" w:cs="Wingdings"/>
      </w:rPr>
    </w:lvl>
    <w:lvl w:ilvl="3" w:tplc="F248568E">
      <w:start w:val="1"/>
      <w:numFmt w:val="bullet"/>
      <w:lvlText w:val=""/>
      <w:lvlJc w:val="left"/>
      <w:pPr>
        <w:ind w:left="2880" w:hanging="360"/>
      </w:pPr>
      <w:rPr>
        <w:rFonts w:ascii="Symbol" w:eastAsia="Symbol" w:hAnsi="Symbol" w:cs="Symbol"/>
      </w:rPr>
    </w:lvl>
    <w:lvl w:ilvl="4" w:tplc="EBA26EB0">
      <w:start w:val="1"/>
      <w:numFmt w:val="bullet"/>
      <w:lvlText w:val="o"/>
      <w:lvlJc w:val="left"/>
      <w:pPr>
        <w:ind w:left="3600" w:hanging="360"/>
      </w:pPr>
      <w:rPr>
        <w:rFonts w:ascii="Courier New" w:eastAsia="Courier New" w:hAnsi="Courier New" w:cs="Courier New"/>
      </w:rPr>
    </w:lvl>
    <w:lvl w:ilvl="5" w:tplc="CF72D136">
      <w:start w:val="1"/>
      <w:numFmt w:val="bullet"/>
      <w:lvlText w:val=""/>
      <w:lvlJc w:val="left"/>
      <w:pPr>
        <w:ind w:left="4320" w:hanging="360"/>
      </w:pPr>
      <w:rPr>
        <w:rFonts w:ascii="Wingdings" w:eastAsia="Wingdings" w:hAnsi="Wingdings" w:cs="Wingdings"/>
      </w:rPr>
    </w:lvl>
    <w:lvl w:ilvl="6" w:tplc="A36E2070">
      <w:start w:val="1"/>
      <w:numFmt w:val="bullet"/>
      <w:lvlText w:val=""/>
      <w:lvlJc w:val="left"/>
      <w:pPr>
        <w:ind w:left="5040" w:hanging="360"/>
      </w:pPr>
      <w:rPr>
        <w:rFonts w:ascii="Symbol" w:eastAsia="Symbol" w:hAnsi="Symbol" w:cs="Symbol"/>
      </w:rPr>
    </w:lvl>
    <w:lvl w:ilvl="7" w:tplc="F350FF00">
      <w:start w:val="1"/>
      <w:numFmt w:val="bullet"/>
      <w:lvlText w:val="o"/>
      <w:lvlJc w:val="left"/>
      <w:pPr>
        <w:ind w:left="5760" w:hanging="360"/>
      </w:pPr>
      <w:rPr>
        <w:rFonts w:ascii="Courier New" w:eastAsia="Courier New" w:hAnsi="Courier New" w:cs="Courier New"/>
      </w:rPr>
    </w:lvl>
    <w:lvl w:ilvl="8" w:tplc="2C0E6034">
      <w:start w:val="1"/>
      <w:numFmt w:val="bullet"/>
      <w:lvlText w:val=""/>
      <w:lvlJc w:val="left"/>
      <w:pPr>
        <w:ind w:left="6480" w:hanging="360"/>
      </w:pPr>
      <w:rPr>
        <w:rFonts w:ascii="Wingdings" w:eastAsia="Wingdings" w:hAnsi="Wingdings" w:cs="Wingdings"/>
      </w:rPr>
    </w:lvl>
  </w:abstractNum>
  <w:abstractNum w:abstractNumId="2" w15:restartNumberingAfterBreak="0">
    <w:nsid w:val="39E42075"/>
    <w:multiLevelType w:val="hybridMultilevel"/>
    <w:tmpl w:val="9BE87EB4"/>
    <w:lvl w:ilvl="0" w:tplc="20BEA344">
      <w:start w:val="1"/>
      <w:numFmt w:val="bullet"/>
      <w:lvlText w:val=""/>
      <w:lvlJc w:val="left"/>
      <w:pPr>
        <w:ind w:left="720" w:hanging="360"/>
      </w:pPr>
      <w:rPr>
        <w:rFonts w:ascii="Symbol" w:eastAsia="Symbol" w:hAnsi="Symbol" w:cs="Symbol"/>
      </w:rPr>
    </w:lvl>
    <w:lvl w:ilvl="1" w:tplc="F2F2F228">
      <w:start w:val="1"/>
      <w:numFmt w:val="bullet"/>
      <w:lvlText w:val="o"/>
      <w:lvlJc w:val="left"/>
      <w:pPr>
        <w:ind w:left="1440" w:hanging="360"/>
      </w:pPr>
      <w:rPr>
        <w:rFonts w:ascii="Courier New" w:eastAsia="Courier New" w:hAnsi="Courier New" w:cs="Courier New"/>
      </w:rPr>
    </w:lvl>
    <w:lvl w:ilvl="2" w:tplc="A64ACEF2">
      <w:start w:val="1"/>
      <w:numFmt w:val="bullet"/>
      <w:lvlText w:val=""/>
      <w:lvlJc w:val="left"/>
      <w:pPr>
        <w:ind w:left="2160" w:hanging="360"/>
      </w:pPr>
      <w:rPr>
        <w:rFonts w:ascii="Wingdings" w:eastAsia="Wingdings" w:hAnsi="Wingdings" w:cs="Wingdings"/>
      </w:rPr>
    </w:lvl>
    <w:lvl w:ilvl="3" w:tplc="B0CAD25A">
      <w:start w:val="1"/>
      <w:numFmt w:val="bullet"/>
      <w:lvlText w:val=""/>
      <w:lvlJc w:val="left"/>
      <w:pPr>
        <w:ind w:left="2880" w:hanging="360"/>
      </w:pPr>
      <w:rPr>
        <w:rFonts w:ascii="Symbol" w:eastAsia="Symbol" w:hAnsi="Symbol" w:cs="Symbol"/>
      </w:rPr>
    </w:lvl>
    <w:lvl w:ilvl="4" w:tplc="71624402">
      <w:start w:val="1"/>
      <w:numFmt w:val="bullet"/>
      <w:lvlText w:val="o"/>
      <w:lvlJc w:val="left"/>
      <w:pPr>
        <w:ind w:left="3600" w:hanging="360"/>
      </w:pPr>
      <w:rPr>
        <w:rFonts w:ascii="Courier New" w:eastAsia="Courier New" w:hAnsi="Courier New" w:cs="Courier New"/>
      </w:rPr>
    </w:lvl>
    <w:lvl w:ilvl="5" w:tplc="67360C6E">
      <w:start w:val="1"/>
      <w:numFmt w:val="bullet"/>
      <w:lvlText w:val=""/>
      <w:lvlJc w:val="left"/>
      <w:pPr>
        <w:ind w:left="4320" w:hanging="360"/>
      </w:pPr>
      <w:rPr>
        <w:rFonts w:ascii="Wingdings" w:eastAsia="Wingdings" w:hAnsi="Wingdings" w:cs="Wingdings"/>
      </w:rPr>
    </w:lvl>
    <w:lvl w:ilvl="6" w:tplc="2272E7D4">
      <w:start w:val="1"/>
      <w:numFmt w:val="bullet"/>
      <w:lvlText w:val=""/>
      <w:lvlJc w:val="left"/>
      <w:pPr>
        <w:ind w:left="5040" w:hanging="360"/>
      </w:pPr>
      <w:rPr>
        <w:rFonts w:ascii="Symbol" w:eastAsia="Symbol" w:hAnsi="Symbol" w:cs="Symbol"/>
      </w:rPr>
    </w:lvl>
    <w:lvl w:ilvl="7" w:tplc="4F8C09C6">
      <w:start w:val="1"/>
      <w:numFmt w:val="bullet"/>
      <w:lvlText w:val="o"/>
      <w:lvlJc w:val="left"/>
      <w:pPr>
        <w:ind w:left="5760" w:hanging="360"/>
      </w:pPr>
      <w:rPr>
        <w:rFonts w:ascii="Courier New" w:eastAsia="Courier New" w:hAnsi="Courier New" w:cs="Courier New"/>
      </w:rPr>
    </w:lvl>
    <w:lvl w:ilvl="8" w:tplc="539AADDE">
      <w:start w:val="1"/>
      <w:numFmt w:val="bullet"/>
      <w:lvlText w:val=""/>
      <w:lvlJc w:val="left"/>
      <w:pPr>
        <w:ind w:left="6480" w:hanging="360"/>
      </w:pPr>
      <w:rPr>
        <w:rFonts w:ascii="Wingdings" w:eastAsia="Wingdings" w:hAnsi="Wingdings" w:cs="Wingdings"/>
      </w:rPr>
    </w:lvl>
  </w:abstractNum>
  <w:abstractNum w:abstractNumId="3" w15:restartNumberingAfterBreak="0">
    <w:nsid w:val="3FC93818"/>
    <w:multiLevelType w:val="hybridMultilevel"/>
    <w:tmpl w:val="3FB20ABA"/>
    <w:lvl w:ilvl="0" w:tplc="C6AC4D86">
      <w:start w:val="1"/>
      <w:numFmt w:val="bullet"/>
      <w:lvlText w:val=""/>
      <w:lvlJc w:val="left"/>
      <w:pPr>
        <w:ind w:left="720" w:hanging="360"/>
      </w:pPr>
      <w:rPr>
        <w:rFonts w:ascii="Symbol" w:eastAsia="Symbol" w:hAnsi="Symbol" w:cs="Symbol"/>
      </w:rPr>
    </w:lvl>
    <w:lvl w:ilvl="1" w:tplc="8EAA964C">
      <w:start w:val="1"/>
      <w:numFmt w:val="bullet"/>
      <w:lvlText w:val="o"/>
      <w:lvlJc w:val="left"/>
      <w:pPr>
        <w:ind w:left="1440" w:hanging="360"/>
      </w:pPr>
      <w:rPr>
        <w:rFonts w:ascii="Courier New" w:eastAsia="Courier New" w:hAnsi="Courier New" w:cs="Courier New"/>
      </w:rPr>
    </w:lvl>
    <w:lvl w:ilvl="2" w:tplc="82349A74">
      <w:start w:val="1"/>
      <w:numFmt w:val="bullet"/>
      <w:lvlText w:val=""/>
      <w:lvlJc w:val="left"/>
      <w:pPr>
        <w:ind w:left="2160" w:hanging="360"/>
      </w:pPr>
      <w:rPr>
        <w:rFonts w:ascii="Wingdings" w:eastAsia="Wingdings" w:hAnsi="Wingdings" w:cs="Wingdings"/>
      </w:rPr>
    </w:lvl>
    <w:lvl w:ilvl="3" w:tplc="F76A6128">
      <w:start w:val="1"/>
      <w:numFmt w:val="bullet"/>
      <w:lvlText w:val=""/>
      <w:lvlJc w:val="left"/>
      <w:pPr>
        <w:ind w:left="2880" w:hanging="360"/>
      </w:pPr>
      <w:rPr>
        <w:rFonts w:ascii="Symbol" w:eastAsia="Symbol" w:hAnsi="Symbol" w:cs="Symbol"/>
      </w:rPr>
    </w:lvl>
    <w:lvl w:ilvl="4" w:tplc="C78E3998">
      <w:start w:val="1"/>
      <w:numFmt w:val="bullet"/>
      <w:lvlText w:val="o"/>
      <w:lvlJc w:val="left"/>
      <w:pPr>
        <w:ind w:left="3600" w:hanging="360"/>
      </w:pPr>
      <w:rPr>
        <w:rFonts w:ascii="Courier New" w:eastAsia="Courier New" w:hAnsi="Courier New" w:cs="Courier New"/>
      </w:rPr>
    </w:lvl>
    <w:lvl w:ilvl="5" w:tplc="04E65EB6">
      <w:start w:val="1"/>
      <w:numFmt w:val="bullet"/>
      <w:lvlText w:val=""/>
      <w:lvlJc w:val="left"/>
      <w:pPr>
        <w:ind w:left="4320" w:hanging="360"/>
      </w:pPr>
      <w:rPr>
        <w:rFonts w:ascii="Wingdings" w:eastAsia="Wingdings" w:hAnsi="Wingdings" w:cs="Wingdings"/>
      </w:rPr>
    </w:lvl>
    <w:lvl w:ilvl="6" w:tplc="D95C4ECE">
      <w:start w:val="1"/>
      <w:numFmt w:val="bullet"/>
      <w:lvlText w:val=""/>
      <w:lvlJc w:val="left"/>
      <w:pPr>
        <w:ind w:left="5040" w:hanging="360"/>
      </w:pPr>
      <w:rPr>
        <w:rFonts w:ascii="Symbol" w:eastAsia="Symbol" w:hAnsi="Symbol" w:cs="Symbol"/>
      </w:rPr>
    </w:lvl>
    <w:lvl w:ilvl="7" w:tplc="AE36D5E2">
      <w:start w:val="1"/>
      <w:numFmt w:val="bullet"/>
      <w:lvlText w:val="o"/>
      <w:lvlJc w:val="left"/>
      <w:pPr>
        <w:ind w:left="5760" w:hanging="360"/>
      </w:pPr>
      <w:rPr>
        <w:rFonts w:ascii="Courier New" w:eastAsia="Courier New" w:hAnsi="Courier New" w:cs="Courier New"/>
      </w:rPr>
    </w:lvl>
    <w:lvl w:ilvl="8" w:tplc="BF86FC44">
      <w:start w:val="1"/>
      <w:numFmt w:val="bullet"/>
      <w:lvlText w:val=""/>
      <w:lvlJc w:val="left"/>
      <w:pPr>
        <w:ind w:left="6480" w:hanging="360"/>
      </w:pPr>
      <w:rPr>
        <w:rFonts w:ascii="Wingdings" w:eastAsia="Wingdings" w:hAnsi="Wingdings" w:cs="Wingdings"/>
      </w:rPr>
    </w:lvl>
  </w:abstractNum>
  <w:abstractNum w:abstractNumId="4" w15:restartNumberingAfterBreak="0">
    <w:nsid w:val="428E02E2"/>
    <w:multiLevelType w:val="hybridMultilevel"/>
    <w:tmpl w:val="87BA7830"/>
    <w:lvl w:ilvl="0" w:tplc="49466DCE">
      <w:start w:val="1"/>
      <w:numFmt w:val="bullet"/>
      <w:lvlText w:val=""/>
      <w:lvlJc w:val="left"/>
      <w:pPr>
        <w:ind w:left="720" w:hanging="360"/>
      </w:pPr>
      <w:rPr>
        <w:rFonts w:ascii="Symbol" w:eastAsia="Symbol" w:hAnsi="Symbol" w:cs="Symbol"/>
      </w:rPr>
    </w:lvl>
    <w:lvl w:ilvl="1" w:tplc="F864BD90">
      <w:start w:val="1"/>
      <w:numFmt w:val="bullet"/>
      <w:lvlText w:val="o"/>
      <w:lvlJc w:val="left"/>
      <w:pPr>
        <w:ind w:left="1440" w:hanging="360"/>
      </w:pPr>
      <w:rPr>
        <w:rFonts w:ascii="Courier New" w:eastAsia="Courier New" w:hAnsi="Courier New" w:cs="Courier New"/>
      </w:rPr>
    </w:lvl>
    <w:lvl w:ilvl="2" w:tplc="E95AE514">
      <w:start w:val="1"/>
      <w:numFmt w:val="bullet"/>
      <w:lvlText w:val=""/>
      <w:lvlJc w:val="left"/>
      <w:pPr>
        <w:ind w:left="2160" w:hanging="360"/>
      </w:pPr>
      <w:rPr>
        <w:rFonts w:ascii="Wingdings" w:eastAsia="Wingdings" w:hAnsi="Wingdings" w:cs="Wingdings"/>
      </w:rPr>
    </w:lvl>
    <w:lvl w:ilvl="3" w:tplc="F12A6BB4">
      <w:start w:val="1"/>
      <w:numFmt w:val="bullet"/>
      <w:lvlText w:val=""/>
      <w:lvlJc w:val="left"/>
      <w:pPr>
        <w:ind w:left="2880" w:hanging="360"/>
      </w:pPr>
      <w:rPr>
        <w:rFonts w:ascii="Symbol" w:eastAsia="Symbol" w:hAnsi="Symbol" w:cs="Symbol"/>
      </w:rPr>
    </w:lvl>
    <w:lvl w:ilvl="4" w:tplc="59B60924">
      <w:start w:val="1"/>
      <w:numFmt w:val="bullet"/>
      <w:lvlText w:val="o"/>
      <w:lvlJc w:val="left"/>
      <w:pPr>
        <w:ind w:left="3600" w:hanging="360"/>
      </w:pPr>
      <w:rPr>
        <w:rFonts w:ascii="Courier New" w:eastAsia="Courier New" w:hAnsi="Courier New" w:cs="Courier New"/>
      </w:rPr>
    </w:lvl>
    <w:lvl w:ilvl="5" w:tplc="2ABE0EBE">
      <w:start w:val="1"/>
      <w:numFmt w:val="bullet"/>
      <w:lvlText w:val=""/>
      <w:lvlJc w:val="left"/>
      <w:pPr>
        <w:ind w:left="4320" w:hanging="360"/>
      </w:pPr>
      <w:rPr>
        <w:rFonts w:ascii="Wingdings" w:eastAsia="Wingdings" w:hAnsi="Wingdings" w:cs="Wingdings"/>
      </w:rPr>
    </w:lvl>
    <w:lvl w:ilvl="6" w:tplc="DBECA74C">
      <w:start w:val="1"/>
      <w:numFmt w:val="bullet"/>
      <w:lvlText w:val=""/>
      <w:lvlJc w:val="left"/>
      <w:pPr>
        <w:ind w:left="5040" w:hanging="360"/>
      </w:pPr>
      <w:rPr>
        <w:rFonts w:ascii="Symbol" w:eastAsia="Symbol" w:hAnsi="Symbol" w:cs="Symbol"/>
      </w:rPr>
    </w:lvl>
    <w:lvl w:ilvl="7" w:tplc="9F225A9E">
      <w:start w:val="1"/>
      <w:numFmt w:val="bullet"/>
      <w:lvlText w:val="o"/>
      <w:lvlJc w:val="left"/>
      <w:pPr>
        <w:ind w:left="5760" w:hanging="360"/>
      </w:pPr>
      <w:rPr>
        <w:rFonts w:ascii="Courier New" w:eastAsia="Courier New" w:hAnsi="Courier New" w:cs="Courier New"/>
      </w:rPr>
    </w:lvl>
    <w:lvl w:ilvl="8" w:tplc="D2A6CD0A">
      <w:start w:val="1"/>
      <w:numFmt w:val="bullet"/>
      <w:lvlText w:val=""/>
      <w:lvlJc w:val="left"/>
      <w:pPr>
        <w:ind w:left="6480" w:hanging="360"/>
      </w:pPr>
      <w:rPr>
        <w:rFonts w:ascii="Wingdings" w:eastAsia="Wingdings" w:hAnsi="Wingdings" w:cs="Wingdings"/>
      </w:rPr>
    </w:lvl>
  </w:abstractNum>
  <w:abstractNum w:abstractNumId="5" w15:restartNumberingAfterBreak="0">
    <w:nsid w:val="445B1450"/>
    <w:multiLevelType w:val="hybridMultilevel"/>
    <w:tmpl w:val="CF582174"/>
    <w:lvl w:ilvl="0" w:tplc="B7BC47C6">
      <w:start w:val="1"/>
      <w:numFmt w:val="bullet"/>
      <w:lvlText w:val=""/>
      <w:lvlJc w:val="left"/>
      <w:pPr>
        <w:ind w:left="720" w:hanging="360"/>
      </w:pPr>
      <w:rPr>
        <w:rFonts w:ascii="Symbol" w:eastAsia="Symbol" w:hAnsi="Symbol" w:cs="Symbol"/>
      </w:rPr>
    </w:lvl>
    <w:lvl w:ilvl="1" w:tplc="EC5C0B00">
      <w:start w:val="1"/>
      <w:numFmt w:val="bullet"/>
      <w:lvlText w:val="o"/>
      <w:lvlJc w:val="left"/>
      <w:pPr>
        <w:ind w:left="1440" w:hanging="360"/>
      </w:pPr>
      <w:rPr>
        <w:rFonts w:ascii="Courier New" w:eastAsia="Courier New" w:hAnsi="Courier New" w:cs="Courier New"/>
      </w:rPr>
    </w:lvl>
    <w:lvl w:ilvl="2" w:tplc="5DE80808">
      <w:start w:val="1"/>
      <w:numFmt w:val="bullet"/>
      <w:lvlText w:val=""/>
      <w:lvlJc w:val="left"/>
      <w:pPr>
        <w:ind w:left="2160" w:hanging="360"/>
      </w:pPr>
      <w:rPr>
        <w:rFonts w:ascii="Wingdings" w:eastAsia="Wingdings" w:hAnsi="Wingdings" w:cs="Wingdings"/>
      </w:rPr>
    </w:lvl>
    <w:lvl w:ilvl="3" w:tplc="7324CD82">
      <w:start w:val="1"/>
      <w:numFmt w:val="bullet"/>
      <w:lvlText w:val=""/>
      <w:lvlJc w:val="left"/>
      <w:pPr>
        <w:ind w:left="2880" w:hanging="360"/>
      </w:pPr>
      <w:rPr>
        <w:rFonts w:ascii="Symbol" w:eastAsia="Symbol" w:hAnsi="Symbol" w:cs="Symbol"/>
      </w:rPr>
    </w:lvl>
    <w:lvl w:ilvl="4" w:tplc="8FF664AA">
      <w:start w:val="1"/>
      <w:numFmt w:val="bullet"/>
      <w:lvlText w:val="o"/>
      <w:lvlJc w:val="left"/>
      <w:pPr>
        <w:ind w:left="3600" w:hanging="360"/>
      </w:pPr>
      <w:rPr>
        <w:rFonts w:ascii="Courier New" w:eastAsia="Courier New" w:hAnsi="Courier New" w:cs="Courier New"/>
      </w:rPr>
    </w:lvl>
    <w:lvl w:ilvl="5" w:tplc="3EFEE5D8">
      <w:start w:val="1"/>
      <w:numFmt w:val="bullet"/>
      <w:lvlText w:val=""/>
      <w:lvlJc w:val="left"/>
      <w:pPr>
        <w:ind w:left="4320" w:hanging="360"/>
      </w:pPr>
      <w:rPr>
        <w:rFonts w:ascii="Wingdings" w:eastAsia="Wingdings" w:hAnsi="Wingdings" w:cs="Wingdings"/>
      </w:rPr>
    </w:lvl>
    <w:lvl w:ilvl="6" w:tplc="37366A38">
      <w:start w:val="1"/>
      <w:numFmt w:val="bullet"/>
      <w:lvlText w:val=""/>
      <w:lvlJc w:val="left"/>
      <w:pPr>
        <w:ind w:left="5040" w:hanging="360"/>
      </w:pPr>
      <w:rPr>
        <w:rFonts w:ascii="Symbol" w:eastAsia="Symbol" w:hAnsi="Symbol" w:cs="Symbol"/>
      </w:rPr>
    </w:lvl>
    <w:lvl w:ilvl="7" w:tplc="58680C76">
      <w:start w:val="1"/>
      <w:numFmt w:val="bullet"/>
      <w:lvlText w:val="o"/>
      <w:lvlJc w:val="left"/>
      <w:pPr>
        <w:ind w:left="5760" w:hanging="360"/>
      </w:pPr>
      <w:rPr>
        <w:rFonts w:ascii="Courier New" w:eastAsia="Courier New" w:hAnsi="Courier New" w:cs="Courier New"/>
      </w:rPr>
    </w:lvl>
    <w:lvl w:ilvl="8" w:tplc="5B22AC4A">
      <w:start w:val="1"/>
      <w:numFmt w:val="bullet"/>
      <w:lvlText w:val=""/>
      <w:lvlJc w:val="left"/>
      <w:pPr>
        <w:ind w:left="6480" w:hanging="360"/>
      </w:pPr>
      <w:rPr>
        <w:rFonts w:ascii="Wingdings" w:eastAsia="Wingdings" w:hAnsi="Wingdings" w:cs="Wingdings"/>
      </w:rPr>
    </w:lvl>
  </w:abstractNum>
  <w:abstractNum w:abstractNumId="6" w15:restartNumberingAfterBreak="0">
    <w:nsid w:val="52C7503D"/>
    <w:multiLevelType w:val="hybridMultilevel"/>
    <w:tmpl w:val="E8E42900"/>
    <w:lvl w:ilvl="0" w:tplc="4E765EC2">
      <w:start w:val="1"/>
      <w:numFmt w:val="bullet"/>
      <w:lvlText w:val=""/>
      <w:lvlJc w:val="left"/>
      <w:pPr>
        <w:ind w:left="720" w:hanging="360"/>
      </w:pPr>
      <w:rPr>
        <w:rFonts w:ascii="Symbol" w:eastAsia="Symbol" w:hAnsi="Symbol" w:cs="Symbol"/>
      </w:rPr>
    </w:lvl>
    <w:lvl w:ilvl="1" w:tplc="B0E6D43A">
      <w:start w:val="1"/>
      <w:numFmt w:val="bullet"/>
      <w:lvlText w:val="o"/>
      <w:lvlJc w:val="left"/>
      <w:pPr>
        <w:ind w:left="1440" w:hanging="360"/>
      </w:pPr>
      <w:rPr>
        <w:rFonts w:ascii="Courier New" w:eastAsia="Courier New" w:hAnsi="Courier New" w:cs="Courier New"/>
      </w:rPr>
    </w:lvl>
    <w:lvl w:ilvl="2" w:tplc="310E6FB0">
      <w:start w:val="1"/>
      <w:numFmt w:val="bullet"/>
      <w:lvlText w:val=""/>
      <w:lvlJc w:val="left"/>
      <w:pPr>
        <w:ind w:left="2160" w:hanging="360"/>
      </w:pPr>
      <w:rPr>
        <w:rFonts w:ascii="Wingdings" w:eastAsia="Wingdings" w:hAnsi="Wingdings" w:cs="Wingdings"/>
      </w:rPr>
    </w:lvl>
    <w:lvl w:ilvl="3" w:tplc="32681488">
      <w:start w:val="1"/>
      <w:numFmt w:val="bullet"/>
      <w:lvlText w:val=""/>
      <w:lvlJc w:val="left"/>
      <w:pPr>
        <w:ind w:left="2880" w:hanging="360"/>
      </w:pPr>
      <w:rPr>
        <w:rFonts w:ascii="Symbol" w:eastAsia="Symbol" w:hAnsi="Symbol" w:cs="Symbol"/>
      </w:rPr>
    </w:lvl>
    <w:lvl w:ilvl="4" w:tplc="E348C2B0">
      <w:start w:val="1"/>
      <w:numFmt w:val="bullet"/>
      <w:lvlText w:val="o"/>
      <w:lvlJc w:val="left"/>
      <w:pPr>
        <w:ind w:left="3600" w:hanging="360"/>
      </w:pPr>
      <w:rPr>
        <w:rFonts w:ascii="Courier New" w:eastAsia="Courier New" w:hAnsi="Courier New" w:cs="Courier New"/>
      </w:rPr>
    </w:lvl>
    <w:lvl w:ilvl="5" w:tplc="73D08936">
      <w:start w:val="1"/>
      <w:numFmt w:val="bullet"/>
      <w:lvlText w:val=""/>
      <w:lvlJc w:val="left"/>
      <w:pPr>
        <w:ind w:left="4320" w:hanging="360"/>
      </w:pPr>
      <w:rPr>
        <w:rFonts w:ascii="Wingdings" w:eastAsia="Wingdings" w:hAnsi="Wingdings" w:cs="Wingdings"/>
      </w:rPr>
    </w:lvl>
    <w:lvl w:ilvl="6" w:tplc="72FA4E56">
      <w:start w:val="1"/>
      <w:numFmt w:val="bullet"/>
      <w:lvlText w:val=""/>
      <w:lvlJc w:val="left"/>
      <w:pPr>
        <w:ind w:left="5040" w:hanging="360"/>
      </w:pPr>
      <w:rPr>
        <w:rFonts w:ascii="Symbol" w:eastAsia="Symbol" w:hAnsi="Symbol" w:cs="Symbol"/>
      </w:rPr>
    </w:lvl>
    <w:lvl w:ilvl="7" w:tplc="9F840796">
      <w:start w:val="1"/>
      <w:numFmt w:val="bullet"/>
      <w:lvlText w:val="o"/>
      <w:lvlJc w:val="left"/>
      <w:pPr>
        <w:ind w:left="5760" w:hanging="360"/>
      </w:pPr>
      <w:rPr>
        <w:rFonts w:ascii="Courier New" w:eastAsia="Courier New" w:hAnsi="Courier New" w:cs="Courier New"/>
      </w:rPr>
    </w:lvl>
    <w:lvl w:ilvl="8" w:tplc="64F21C68">
      <w:start w:val="1"/>
      <w:numFmt w:val="bullet"/>
      <w:lvlText w:val=""/>
      <w:lvlJc w:val="left"/>
      <w:pPr>
        <w:ind w:left="6480" w:hanging="360"/>
      </w:pPr>
      <w:rPr>
        <w:rFonts w:ascii="Wingdings" w:eastAsia="Wingdings" w:hAnsi="Wingdings" w:cs="Wingdings"/>
      </w:rPr>
    </w:lvl>
  </w:abstractNum>
  <w:abstractNum w:abstractNumId="7" w15:restartNumberingAfterBreak="0">
    <w:nsid w:val="78191D52"/>
    <w:multiLevelType w:val="hybridMultilevel"/>
    <w:tmpl w:val="0CBA9A64"/>
    <w:lvl w:ilvl="0" w:tplc="8FB0F74E">
      <w:start w:val="1"/>
      <w:numFmt w:val="bullet"/>
      <w:lvlText w:val=""/>
      <w:lvlJc w:val="left"/>
      <w:pPr>
        <w:ind w:left="720" w:hanging="360"/>
      </w:pPr>
      <w:rPr>
        <w:rFonts w:ascii="Symbol" w:eastAsia="Symbol" w:hAnsi="Symbol" w:cs="Symbol"/>
      </w:rPr>
    </w:lvl>
    <w:lvl w:ilvl="1" w:tplc="FCECA4B2">
      <w:start w:val="1"/>
      <w:numFmt w:val="bullet"/>
      <w:lvlText w:val="o"/>
      <w:lvlJc w:val="left"/>
      <w:pPr>
        <w:ind w:left="1440" w:hanging="360"/>
      </w:pPr>
      <w:rPr>
        <w:rFonts w:ascii="Courier New" w:eastAsia="Courier New" w:hAnsi="Courier New" w:cs="Courier New"/>
      </w:rPr>
    </w:lvl>
    <w:lvl w:ilvl="2" w:tplc="D44AD5EA">
      <w:start w:val="1"/>
      <w:numFmt w:val="bullet"/>
      <w:lvlText w:val=""/>
      <w:lvlJc w:val="left"/>
      <w:pPr>
        <w:ind w:left="2160" w:hanging="360"/>
      </w:pPr>
      <w:rPr>
        <w:rFonts w:ascii="Wingdings" w:eastAsia="Wingdings" w:hAnsi="Wingdings" w:cs="Wingdings"/>
      </w:rPr>
    </w:lvl>
    <w:lvl w:ilvl="3" w:tplc="2D0696D8">
      <w:start w:val="1"/>
      <w:numFmt w:val="bullet"/>
      <w:lvlText w:val=""/>
      <w:lvlJc w:val="left"/>
      <w:pPr>
        <w:ind w:left="2880" w:hanging="360"/>
      </w:pPr>
      <w:rPr>
        <w:rFonts w:ascii="Symbol" w:eastAsia="Symbol" w:hAnsi="Symbol" w:cs="Symbol"/>
      </w:rPr>
    </w:lvl>
    <w:lvl w:ilvl="4" w:tplc="7272F532">
      <w:start w:val="1"/>
      <w:numFmt w:val="bullet"/>
      <w:lvlText w:val="o"/>
      <w:lvlJc w:val="left"/>
      <w:pPr>
        <w:ind w:left="3600" w:hanging="360"/>
      </w:pPr>
      <w:rPr>
        <w:rFonts w:ascii="Courier New" w:eastAsia="Courier New" w:hAnsi="Courier New" w:cs="Courier New"/>
      </w:rPr>
    </w:lvl>
    <w:lvl w:ilvl="5" w:tplc="33223104">
      <w:start w:val="1"/>
      <w:numFmt w:val="bullet"/>
      <w:lvlText w:val=""/>
      <w:lvlJc w:val="left"/>
      <w:pPr>
        <w:ind w:left="4320" w:hanging="360"/>
      </w:pPr>
      <w:rPr>
        <w:rFonts w:ascii="Wingdings" w:eastAsia="Wingdings" w:hAnsi="Wingdings" w:cs="Wingdings"/>
      </w:rPr>
    </w:lvl>
    <w:lvl w:ilvl="6" w:tplc="CFCEAB44">
      <w:start w:val="1"/>
      <w:numFmt w:val="bullet"/>
      <w:lvlText w:val=""/>
      <w:lvlJc w:val="left"/>
      <w:pPr>
        <w:ind w:left="5040" w:hanging="360"/>
      </w:pPr>
      <w:rPr>
        <w:rFonts w:ascii="Symbol" w:eastAsia="Symbol" w:hAnsi="Symbol" w:cs="Symbol"/>
      </w:rPr>
    </w:lvl>
    <w:lvl w:ilvl="7" w:tplc="D0886AD0">
      <w:start w:val="1"/>
      <w:numFmt w:val="bullet"/>
      <w:lvlText w:val="o"/>
      <w:lvlJc w:val="left"/>
      <w:pPr>
        <w:ind w:left="5760" w:hanging="360"/>
      </w:pPr>
      <w:rPr>
        <w:rFonts w:ascii="Courier New" w:eastAsia="Courier New" w:hAnsi="Courier New" w:cs="Courier New"/>
      </w:rPr>
    </w:lvl>
    <w:lvl w:ilvl="8" w:tplc="233AD66C">
      <w:start w:val="1"/>
      <w:numFmt w:val="bullet"/>
      <w:lvlText w:val=""/>
      <w:lvlJc w:val="left"/>
      <w:pPr>
        <w:ind w:left="6480" w:hanging="360"/>
      </w:pPr>
      <w:rPr>
        <w:rFonts w:ascii="Wingdings" w:eastAsia="Wingdings" w:hAnsi="Wingdings" w:cs="Wingdings"/>
      </w:rPr>
    </w:lvl>
  </w:abstractNum>
  <w:abstractNum w:abstractNumId="8" w15:restartNumberingAfterBreak="0">
    <w:nsid w:val="7D7E1713"/>
    <w:multiLevelType w:val="hybridMultilevel"/>
    <w:tmpl w:val="DF705B24"/>
    <w:lvl w:ilvl="0" w:tplc="CD0281CE">
      <w:start w:val="1"/>
      <w:numFmt w:val="bullet"/>
      <w:lvlText w:val="●"/>
      <w:lvlJc w:val="left"/>
      <w:pPr>
        <w:ind w:left="720" w:hanging="360"/>
      </w:pPr>
    </w:lvl>
    <w:lvl w:ilvl="1" w:tplc="473A1030">
      <w:start w:val="1"/>
      <w:numFmt w:val="bullet"/>
      <w:lvlText w:val="○"/>
      <w:lvlJc w:val="left"/>
      <w:pPr>
        <w:ind w:left="1440" w:hanging="360"/>
      </w:pPr>
    </w:lvl>
    <w:lvl w:ilvl="2" w:tplc="62466C20">
      <w:start w:val="1"/>
      <w:numFmt w:val="bullet"/>
      <w:lvlText w:val="■"/>
      <w:lvlJc w:val="left"/>
      <w:pPr>
        <w:ind w:left="2160" w:hanging="360"/>
      </w:pPr>
    </w:lvl>
    <w:lvl w:ilvl="3" w:tplc="9C1AF6E2">
      <w:start w:val="1"/>
      <w:numFmt w:val="bullet"/>
      <w:lvlText w:val="●"/>
      <w:lvlJc w:val="left"/>
      <w:pPr>
        <w:ind w:left="2880" w:hanging="360"/>
      </w:pPr>
    </w:lvl>
    <w:lvl w:ilvl="4" w:tplc="FA541AE4">
      <w:start w:val="1"/>
      <w:numFmt w:val="bullet"/>
      <w:lvlText w:val="○"/>
      <w:lvlJc w:val="left"/>
      <w:pPr>
        <w:ind w:left="3600" w:hanging="360"/>
      </w:pPr>
    </w:lvl>
    <w:lvl w:ilvl="5" w:tplc="25687E1C">
      <w:start w:val="1"/>
      <w:numFmt w:val="bullet"/>
      <w:lvlText w:val="■"/>
      <w:lvlJc w:val="left"/>
      <w:pPr>
        <w:ind w:left="4320" w:hanging="360"/>
      </w:pPr>
    </w:lvl>
    <w:lvl w:ilvl="6" w:tplc="6CA42C08">
      <w:start w:val="1"/>
      <w:numFmt w:val="bullet"/>
      <w:lvlText w:val="●"/>
      <w:lvlJc w:val="left"/>
      <w:pPr>
        <w:ind w:left="5040" w:hanging="360"/>
      </w:pPr>
    </w:lvl>
    <w:lvl w:ilvl="7" w:tplc="A878B14E">
      <w:start w:val="1"/>
      <w:numFmt w:val="bullet"/>
      <w:lvlText w:val="●"/>
      <w:lvlJc w:val="left"/>
      <w:pPr>
        <w:ind w:left="5760" w:hanging="360"/>
      </w:pPr>
    </w:lvl>
    <w:lvl w:ilvl="8" w:tplc="A2DEB418">
      <w:start w:val="1"/>
      <w:numFmt w:val="bullet"/>
      <w:lvlText w:val="●"/>
      <w:lvlJc w:val="left"/>
      <w:pPr>
        <w:ind w:left="6480" w:hanging="360"/>
      </w:pPr>
    </w:lvl>
  </w:abstractNum>
  <w:num w:numId="1">
    <w:abstractNumId w:val="8"/>
    <w:lvlOverride w:ilvl="0">
      <w:startOverride w:val="1"/>
    </w:lvlOverride>
  </w:num>
  <w:num w:numId="2">
    <w:abstractNumId w:val="2"/>
  </w:num>
  <w:num w:numId="3">
    <w:abstractNumId w:val="6"/>
  </w:num>
  <w:num w:numId="4">
    <w:abstractNumId w:val="0"/>
  </w:num>
  <w:num w:numId="5">
    <w:abstractNumId w:val="7"/>
  </w:num>
  <w:num w:numId="6">
    <w:abstractNumId w:val="4"/>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C6D"/>
    <w:rsid w:val="001E7AB9"/>
    <w:rsid w:val="0086273E"/>
    <w:rsid w:val="00A02E67"/>
    <w:rsid w:val="00B36C6D"/>
    <w:rsid w:val="00B55870"/>
    <w:rsid w:val="00B964FB"/>
    <w:rsid w:val="00C94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49075"/>
  <w15:docId w15:val="{1163F3DD-2C05-43AD-937A-4D006791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sz w:val="32"/>
      <w:szCs w:val="32"/>
    </w:rPr>
  </w:style>
  <w:style w:type="character" w:customStyle="1" w:styleId="Heading3Char">
    <w:name w:val="Heading 3 Char"/>
    <w:basedOn w:val="DefaultParagraphFont"/>
    <w:link w:val="Heading3"/>
    <w:uiPriority w:val="9"/>
    <w:rPr>
      <w:rFonts w:eastAsiaTheme="majorEastAsia" w:cstheme="majorBidi"/>
      <w:color w:val="0F4761"/>
      <w:sz w:val="28"/>
      <w:szCs w:val="28"/>
    </w:rPr>
  </w:style>
  <w:style w:type="character" w:customStyle="1" w:styleId="Heading4Char">
    <w:name w:val="Heading 4 Char"/>
    <w:basedOn w:val="DefaultParagraphFont"/>
    <w:link w:val="Heading4"/>
    <w:uiPriority w:val="9"/>
    <w:rPr>
      <w:rFonts w:eastAsiaTheme="majorEastAsia" w:cstheme="majorBidi"/>
      <w:i/>
      <w:iCs/>
      <w:color w:val="0F4761"/>
    </w:rPr>
  </w:style>
  <w:style w:type="character" w:customStyle="1" w:styleId="Heading5Char">
    <w:name w:val="Heading 5 Char"/>
    <w:basedOn w:val="DefaultParagraphFont"/>
    <w:link w:val="Heading5"/>
    <w:uiPriority w:val="9"/>
    <w:rPr>
      <w:rFonts w:eastAsiaTheme="majorEastAsia" w:cstheme="majorBidi"/>
      <w:color w:val="0F4761"/>
    </w:rPr>
  </w:style>
  <w:style w:type="character" w:customStyle="1" w:styleId="Heading6Char">
    <w:name w:val="Heading 6 Char"/>
    <w:basedOn w:val="DefaultParagraphFont"/>
    <w:link w:val="Heading6"/>
    <w:uiPriority w:val="9"/>
    <w:rPr>
      <w:rFonts w:eastAsiaTheme="majorEastAsia" w:cstheme="majorBidi"/>
      <w:i/>
      <w:iCs/>
      <w:color w:val="595959"/>
    </w:rPr>
  </w:style>
  <w:style w:type="character" w:customStyle="1" w:styleId="Heading7Char">
    <w:name w:val="Heading 7 Char"/>
    <w:basedOn w:val="DefaultParagraphFont"/>
    <w:link w:val="Heading7"/>
    <w:uiPriority w:val="9"/>
    <w:rPr>
      <w:rFonts w:eastAsiaTheme="majorEastAsia" w:cstheme="majorBidi"/>
      <w:color w:val="595959"/>
    </w:rPr>
  </w:style>
  <w:style w:type="character" w:customStyle="1" w:styleId="Heading8Char">
    <w:name w:val="Heading 8 Char"/>
    <w:basedOn w:val="DefaultParagraphFont"/>
    <w:link w:val="Heading8"/>
    <w:uiPriority w:val="9"/>
    <w:rPr>
      <w:rFonts w:eastAsiaTheme="majorEastAsia" w:cstheme="majorBidi"/>
      <w:i/>
      <w:iCs/>
      <w:color w:val="272727"/>
    </w:rPr>
  </w:style>
  <w:style w:type="character" w:customStyle="1" w:styleId="Heading9Char">
    <w:name w:val="Heading 9 Char"/>
    <w:basedOn w:val="DefaultParagraphFont"/>
    <w:link w:val="Heading9"/>
    <w:uiPriority w:val="9"/>
    <w:rPr>
      <w:rFonts w:eastAsiaTheme="majorEastAsia" w:cstheme="majorBidi"/>
      <w:color w:val="272727"/>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spacing w:val="15"/>
      <w:sz w:val="28"/>
      <w:szCs w:val="28"/>
    </w:rPr>
  </w:style>
  <w:style w:type="character" w:styleId="IntenseEmphasis">
    <w:name w:val="Intense Emphasis"/>
    <w:basedOn w:val="DefaultParagraphFont"/>
    <w:uiPriority w:val="21"/>
    <w:qFormat/>
    <w:rPr>
      <w:i/>
      <w:iCs/>
      <w:color w:val="0F4761"/>
    </w:rPr>
  </w:style>
  <w:style w:type="character" w:customStyle="1" w:styleId="QuoteChar">
    <w:name w:val="Quote Char"/>
    <w:basedOn w:val="DefaultParagraphFont"/>
    <w:link w:val="Quote"/>
    <w:uiPriority w:val="29"/>
    <w:rPr>
      <w:i/>
      <w:iCs/>
      <w:color w:val="404040"/>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IntenseQuoteChar">
    <w:name w:val="Intense Quote Char"/>
    <w:basedOn w:val="DefaultParagraphFont"/>
    <w:link w:val="IntenseQuote"/>
    <w:uiPriority w:val="30"/>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59"/>
    <w:rsid w:val="00FB412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4472C4" w:themeFill="accent1"/>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Pr>
      <w:color w:val="0563C1"/>
      <w:u w:val="single"/>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uiPriority w:val="35"/>
    <w:qFormat/>
    <w:pPr>
      <w:spacing w:before="160"/>
      <w:contextualSpacing/>
    </w:pPr>
    <w:rPr>
      <w:i/>
      <w:iCs/>
      <w:color w:val="404040"/>
    </w:rPr>
  </w:style>
  <w:style w:type="paragraph" w:styleId="FootnoteText">
    <w:name w:val="footnote text"/>
    <w:basedOn w:val="Normal"/>
    <w:link w:val="FootnoteTextChar"/>
    <w:uiPriority w:val="99"/>
    <w:semiHidden/>
    <w:unhideWhenUsed/>
    <w:rsid w:val="00C17A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A41"/>
    <w:rPr>
      <w:sz w:val="20"/>
      <w:szCs w:val="20"/>
    </w:rPr>
  </w:style>
  <w:style w:type="character" w:styleId="FootnoteReference">
    <w:name w:val="footnote reference"/>
    <w:basedOn w:val="DefaultParagraphFont"/>
    <w:uiPriority w:val="99"/>
    <w:semiHidden/>
    <w:unhideWhenUsed/>
    <w:rsid w:val="00C17A41"/>
    <w:rPr>
      <w:vertAlign w:val="superscript"/>
    </w:rPr>
  </w:style>
  <w:style w:type="character" w:styleId="Strong">
    <w:name w:val="Strong"/>
    <w:basedOn w:val="DefaultParagraphFont"/>
    <w:uiPriority w:val="22"/>
    <w:qFormat/>
    <w:rsid w:val="0086273E"/>
    <w:rPr>
      <w:b/>
      <w:bCs/>
    </w:rPr>
  </w:style>
  <w:style w:type="character" w:styleId="Emphasis">
    <w:name w:val="Emphasis"/>
    <w:basedOn w:val="DefaultParagraphFont"/>
    <w:uiPriority w:val="20"/>
    <w:qFormat/>
    <w:rsid w:val="0086273E"/>
    <w:rPr>
      <w:i/>
      <w:iCs/>
    </w:rPr>
  </w:style>
  <w:style w:type="paragraph" w:styleId="NormalWeb">
    <w:name w:val="Normal (Web)"/>
    <w:basedOn w:val="Normal"/>
    <w:uiPriority w:val="99"/>
    <w:unhideWhenUsed/>
    <w:rsid w:val="0086273E"/>
    <w:pPr>
      <w:spacing w:before="100" w:beforeAutospacing="1" w:after="100" w:afterAutospacing="1" w:line="240" w:lineRule="auto"/>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862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73E"/>
  </w:style>
  <w:style w:type="paragraph" w:styleId="Footer">
    <w:name w:val="footer"/>
    <w:basedOn w:val="Normal"/>
    <w:link w:val="FooterChar"/>
    <w:uiPriority w:val="99"/>
    <w:unhideWhenUsed/>
    <w:rsid w:val="00862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279303">
      <w:bodyDiv w:val="1"/>
      <w:marLeft w:val="0"/>
      <w:marRight w:val="0"/>
      <w:marTop w:val="0"/>
      <w:marBottom w:val="0"/>
      <w:divBdr>
        <w:top w:val="none" w:sz="0" w:space="0" w:color="auto"/>
        <w:left w:val="none" w:sz="0" w:space="0" w:color="auto"/>
        <w:bottom w:val="none" w:sz="0" w:space="0" w:color="auto"/>
        <w:right w:val="none" w:sz="0" w:space="0" w:color="auto"/>
      </w:divBdr>
      <w:divsChild>
        <w:div w:id="172644215">
          <w:marLeft w:val="0"/>
          <w:marRight w:val="0"/>
          <w:marTop w:val="0"/>
          <w:marBottom w:val="0"/>
          <w:divBdr>
            <w:top w:val="none" w:sz="0" w:space="0" w:color="auto"/>
            <w:left w:val="none" w:sz="0" w:space="0" w:color="auto"/>
            <w:bottom w:val="none" w:sz="0" w:space="0" w:color="auto"/>
            <w:right w:val="none" w:sz="0" w:space="0" w:color="auto"/>
          </w:divBdr>
        </w:div>
      </w:divsChild>
    </w:div>
    <w:div w:id="859009132">
      <w:bodyDiv w:val="1"/>
      <w:marLeft w:val="0"/>
      <w:marRight w:val="0"/>
      <w:marTop w:val="0"/>
      <w:marBottom w:val="0"/>
      <w:divBdr>
        <w:top w:val="none" w:sz="0" w:space="0" w:color="auto"/>
        <w:left w:val="none" w:sz="0" w:space="0" w:color="auto"/>
        <w:bottom w:val="none" w:sz="0" w:space="0" w:color="auto"/>
        <w:right w:val="none" w:sz="0" w:space="0" w:color="auto"/>
      </w:divBdr>
      <w:divsChild>
        <w:div w:id="1088233462">
          <w:marLeft w:val="0"/>
          <w:marRight w:val="0"/>
          <w:marTop w:val="0"/>
          <w:marBottom w:val="0"/>
          <w:divBdr>
            <w:top w:val="none" w:sz="0" w:space="0" w:color="auto"/>
            <w:left w:val="none" w:sz="0" w:space="0" w:color="auto"/>
            <w:bottom w:val="none" w:sz="0" w:space="0" w:color="auto"/>
            <w:right w:val="none" w:sz="0" w:space="0" w:color="auto"/>
          </w:divBdr>
        </w:div>
      </w:divsChild>
    </w:div>
    <w:div w:id="904799800">
      <w:bodyDiv w:val="1"/>
      <w:marLeft w:val="0"/>
      <w:marRight w:val="0"/>
      <w:marTop w:val="0"/>
      <w:marBottom w:val="0"/>
      <w:divBdr>
        <w:top w:val="none" w:sz="0" w:space="0" w:color="auto"/>
        <w:left w:val="none" w:sz="0" w:space="0" w:color="auto"/>
        <w:bottom w:val="none" w:sz="0" w:space="0" w:color="auto"/>
        <w:right w:val="none" w:sz="0" w:space="0" w:color="auto"/>
      </w:divBdr>
      <w:divsChild>
        <w:div w:id="1012489357">
          <w:marLeft w:val="0"/>
          <w:marRight w:val="0"/>
          <w:marTop w:val="0"/>
          <w:marBottom w:val="0"/>
          <w:divBdr>
            <w:top w:val="none" w:sz="0" w:space="0" w:color="auto"/>
            <w:left w:val="none" w:sz="0" w:space="0" w:color="auto"/>
            <w:bottom w:val="none" w:sz="0" w:space="0" w:color="auto"/>
            <w:right w:val="none" w:sz="0" w:space="0" w:color="auto"/>
          </w:divBdr>
        </w:div>
      </w:divsChild>
    </w:div>
    <w:div w:id="1184174575">
      <w:bodyDiv w:val="1"/>
      <w:marLeft w:val="0"/>
      <w:marRight w:val="0"/>
      <w:marTop w:val="0"/>
      <w:marBottom w:val="0"/>
      <w:divBdr>
        <w:top w:val="none" w:sz="0" w:space="0" w:color="auto"/>
        <w:left w:val="none" w:sz="0" w:space="0" w:color="auto"/>
        <w:bottom w:val="none" w:sz="0" w:space="0" w:color="auto"/>
        <w:right w:val="none" w:sz="0" w:space="0" w:color="auto"/>
      </w:divBdr>
      <w:divsChild>
        <w:div w:id="1693989347">
          <w:marLeft w:val="0"/>
          <w:marRight w:val="0"/>
          <w:marTop w:val="0"/>
          <w:marBottom w:val="0"/>
          <w:divBdr>
            <w:top w:val="none" w:sz="0" w:space="0" w:color="auto"/>
            <w:left w:val="none" w:sz="0" w:space="0" w:color="auto"/>
            <w:bottom w:val="none" w:sz="0" w:space="0" w:color="auto"/>
            <w:right w:val="none" w:sz="0" w:space="0" w:color="auto"/>
          </w:divBdr>
        </w:div>
      </w:divsChild>
    </w:div>
    <w:div w:id="1910995327">
      <w:bodyDiv w:val="1"/>
      <w:marLeft w:val="0"/>
      <w:marRight w:val="0"/>
      <w:marTop w:val="0"/>
      <w:marBottom w:val="0"/>
      <w:divBdr>
        <w:top w:val="none" w:sz="0" w:space="0" w:color="auto"/>
        <w:left w:val="none" w:sz="0" w:space="0" w:color="auto"/>
        <w:bottom w:val="none" w:sz="0" w:space="0" w:color="auto"/>
        <w:right w:val="none" w:sz="0" w:space="0" w:color="auto"/>
      </w:divBdr>
      <w:divsChild>
        <w:div w:id="14818516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925</TotalTime>
  <Pages>6</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Document</vt:lpstr>
    </vt:vector>
  </TitlesOfParts>
  <Company>Compton Primary School</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creator>Un-named</dc:creator>
  <cp:lastModifiedBy>Rebecca Lamport</cp:lastModifiedBy>
  <cp:revision>4</cp:revision>
  <cp:lastPrinted>2026-03-03T16:52:00Z</cp:lastPrinted>
  <dcterms:created xsi:type="dcterms:W3CDTF">2026-03-03T16:50:00Z</dcterms:created>
  <dcterms:modified xsi:type="dcterms:W3CDTF">2026-03-04T08:17:00Z</dcterms:modified>
</cp:coreProperties>
</file>